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9E6B" w14:textId="320E0702" w:rsidR="00747754" w:rsidRDefault="00C87840" w:rsidP="00747754">
      <w:pPr>
        <w:pStyle w:val="Heading2"/>
        <w:numPr>
          <w:ilvl w:val="0"/>
          <w:numId w:val="0"/>
        </w:numPr>
        <w:jc w:val="center"/>
        <w:rPr>
          <w:lang w:eastAsia="en-GB"/>
        </w:rPr>
      </w:pPr>
      <w:r w:rsidRPr="00C87840">
        <w:rPr>
          <w:lang w:eastAsia="en-GB"/>
        </w:rPr>
        <w:t xml:space="preserve">Regional </w:t>
      </w:r>
      <w:r w:rsidR="00421226">
        <w:rPr>
          <w:lang w:eastAsia="en-GB"/>
        </w:rPr>
        <w:t>W</w:t>
      </w:r>
      <w:r w:rsidRPr="00C87840">
        <w:rPr>
          <w:lang w:eastAsia="en-GB"/>
        </w:rPr>
        <w:t>orkshop on Technical Barriers to for Asian Members</w:t>
      </w:r>
      <w:r w:rsidR="00421226">
        <w:rPr>
          <w:lang w:eastAsia="en-GB"/>
        </w:rPr>
        <w:t xml:space="preserve"> of the WTO</w:t>
      </w:r>
    </w:p>
    <w:p w14:paraId="7418449F" w14:textId="77777777" w:rsidR="0098753D" w:rsidRPr="00C87840" w:rsidRDefault="0098753D" w:rsidP="0098753D">
      <w:pPr>
        <w:pStyle w:val="Title3"/>
      </w:pPr>
      <w:r>
        <w:t>Manila, Philippines</w:t>
      </w:r>
    </w:p>
    <w:p w14:paraId="1FEA219D" w14:textId="3D092579" w:rsidR="0098753D" w:rsidRPr="0098753D" w:rsidRDefault="0098753D" w:rsidP="0098753D">
      <w:pPr>
        <w:pStyle w:val="Title3"/>
      </w:pPr>
      <w:r>
        <w:t>14-16 November 2023</w:t>
      </w:r>
    </w:p>
    <w:p w14:paraId="1DEEE598" w14:textId="71C786C6" w:rsidR="00757369" w:rsidRDefault="00C87840" w:rsidP="00757369">
      <w:pPr>
        <w:ind w:firstLine="567"/>
      </w:pPr>
      <w:r w:rsidRPr="00C87840">
        <w:rPr>
          <w:lang w:eastAsia="en-GB"/>
        </w:rPr>
        <w:t xml:space="preserve">This </w:t>
      </w:r>
      <w:r w:rsidR="001F0A24">
        <w:rPr>
          <w:lang w:eastAsia="en-GB"/>
        </w:rPr>
        <w:t>R</w:t>
      </w:r>
      <w:r w:rsidRPr="00C87840">
        <w:rPr>
          <w:lang w:eastAsia="en-GB"/>
        </w:rPr>
        <w:t xml:space="preserve">egional </w:t>
      </w:r>
      <w:r w:rsidR="00421226">
        <w:rPr>
          <w:lang w:eastAsia="en-GB"/>
        </w:rPr>
        <w:t>W</w:t>
      </w:r>
      <w:r w:rsidRPr="00C87840">
        <w:rPr>
          <w:lang w:eastAsia="en-GB"/>
        </w:rPr>
        <w:t xml:space="preserve">orkshop </w:t>
      </w:r>
      <w:r w:rsidR="001F0A24">
        <w:rPr>
          <w:lang w:eastAsia="en-GB"/>
        </w:rPr>
        <w:t xml:space="preserve">on the TBT Agreement </w:t>
      </w:r>
      <w:r w:rsidRPr="00C87840">
        <w:rPr>
          <w:lang w:eastAsia="en-GB"/>
        </w:rPr>
        <w:t xml:space="preserve">will </w:t>
      </w:r>
      <w:r w:rsidR="00236461">
        <w:rPr>
          <w:lang w:eastAsia="en-GB"/>
        </w:rPr>
        <w:t xml:space="preserve">address the </w:t>
      </w:r>
      <w:r w:rsidR="007A4792">
        <w:rPr>
          <w:lang w:eastAsia="en-GB"/>
        </w:rPr>
        <w:t xml:space="preserve">implementation of the </w:t>
      </w:r>
      <w:r w:rsidR="00236461">
        <w:rPr>
          <w:lang w:eastAsia="en-GB"/>
        </w:rPr>
        <w:t xml:space="preserve">WTO </w:t>
      </w:r>
      <w:r w:rsidR="007A4792">
        <w:rPr>
          <w:lang w:eastAsia="en-GB"/>
        </w:rPr>
        <w:t>TBT Agreement. There will be a</w:t>
      </w:r>
      <w:r w:rsidR="00F40003">
        <w:rPr>
          <w:lang w:eastAsia="en-GB"/>
        </w:rPr>
        <w:t xml:space="preserve"> particular</w:t>
      </w:r>
      <w:r w:rsidR="007A4792">
        <w:rPr>
          <w:lang w:eastAsia="en-GB"/>
        </w:rPr>
        <w:t xml:space="preserve"> focus on environmental aspects related to the TBT Agreement</w:t>
      </w:r>
      <w:r w:rsidR="00236461">
        <w:rPr>
          <w:lang w:eastAsia="en-GB"/>
        </w:rPr>
        <w:t>.</w:t>
      </w:r>
      <w:r w:rsidR="00F40003">
        <w:rPr>
          <w:lang w:eastAsia="en-GB"/>
        </w:rPr>
        <w:t xml:space="preserve"> </w:t>
      </w:r>
      <w:r w:rsidR="00CB39A6">
        <w:t>The</w:t>
      </w:r>
      <w:r w:rsidR="00CD1CAD">
        <w:t xml:space="preserve"> TBT Agreement disciplines the use of technical regulations, standards and conformity assessment </w:t>
      </w:r>
      <w:r w:rsidR="00CB39A6">
        <w:rPr>
          <w:szCs w:val="18"/>
        </w:rPr>
        <w:t xml:space="preserve">promotes transparency and </w:t>
      </w:r>
      <w:r w:rsidR="00FE64DE">
        <w:rPr>
          <w:szCs w:val="18"/>
        </w:rPr>
        <w:t>strongly encourages</w:t>
      </w:r>
      <w:r w:rsidR="00FE64DE" w:rsidRPr="00C227C4">
        <w:rPr>
          <w:szCs w:val="18"/>
        </w:rPr>
        <w:t xml:space="preserve"> harmonization </w:t>
      </w:r>
      <w:r w:rsidR="00FE64DE">
        <w:rPr>
          <w:szCs w:val="18"/>
        </w:rPr>
        <w:t>of Members' national regulations with</w:t>
      </w:r>
      <w:r w:rsidR="00FE64DE" w:rsidRPr="00C227C4">
        <w:rPr>
          <w:szCs w:val="18"/>
        </w:rPr>
        <w:t xml:space="preserve"> </w:t>
      </w:r>
      <w:r w:rsidR="00BB50B5">
        <w:rPr>
          <w:szCs w:val="18"/>
        </w:rPr>
        <w:t xml:space="preserve">relevant </w:t>
      </w:r>
      <w:r w:rsidR="00FE64DE" w:rsidRPr="00C227C4">
        <w:rPr>
          <w:szCs w:val="18"/>
        </w:rPr>
        <w:t>international standards</w:t>
      </w:r>
      <w:r w:rsidR="00FE64DE">
        <w:rPr>
          <w:szCs w:val="18"/>
        </w:rPr>
        <w:t>, to facilitate trade</w:t>
      </w:r>
      <w:r w:rsidR="00CD1CAD">
        <w:rPr>
          <w:szCs w:val="18"/>
        </w:rPr>
        <w:t xml:space="preserve"> and ensure regulatory compatibility across countries</w:t>
      </w:r>
      <w:r w:rsidR="00FE64DE" w:rsidRPr="00C227C4">
        <w:rPr>
          <w:szCs w:val="18"/>
        </w:rPr>
        <w:t xml:space="preserve">. </w:t>
      </w:r>
      <w:r w:rsidR="00CB39A6">
        <w:rPr>
          <w:szCs w:val="18"/>
        </w:rPr>
        <w:t>It also promotes</w:t>
      </w:r>
      <w:r w:rsidR="00E413B3" w:rsidRPr="00C227C4">
        <w:rPr>
          <w:szCs w:val="18"/>
        </w:rPr>
        <w:t xml:space="preserve"> coherence and inclusivity</w:t>
      </w:r>
      <w:r w:rsidR="00E413B3">
        <w:rPr>
          <w:szCs w:val="18"/>
        </w:rPr>
        <w:t xml:space="preserve"> of developing countries</w:t>
      </w:r>
      <w:r w:rsidR="00E14801">
        <w:rPr>
          <w:szCs w:val="18"/>
        </w:rPr>
        <w:t xml:space="preserve">. The workshop will address the </w:t>
      </w:r>
      <w:r w:rsidR="00236461" w:rsidRPr="00C87840">
        <w:rPr>
          <w:lang w:eastAsia="en-GB"/>
        </w:rPr>
        <w:t xml:space="preserve">opportunities and challenges for Members in Asia with respect to </w:t>
      </w:r>
      <w:r w:rsidR="00236461">
        <w:rPr>
          <w:lang w:eastAsia="en-GB"/>
        </w:rPr>
        <w:t xml:space="preserve">the </w:t>
      </w:r>
      <w:r w:rsidR="00236461">
        <w:t>TBT Agreement</w:t>
      </w:r>
      <w:r w:rsidR="00236461" w:rsidRPr="00C87840">
        <w:rPr>
          <w:lang w:eastAsia="en-GB"/>
        </w:rPr>
        <w:t xml:space="preserve">. </w:t>
      </w:r>
      <w:r w:rsidR="00E14801">
        <w:rPr>
          <w:lang w:eastAsia="en-GB"/>
        </w:rPr>
        <w:t xml:space="preserve">It will include a thematic focus on </w:t>
      </w:r>
      <w:r w:rsidR="00031D3E">
        <w:rPr>
          <w:lang w:eastAsia="en-GB"/>
        </w:rPr>
        <w:t xml:space="preserve">environment illustrated by the importance of standards in the </w:t>
      </w:r>
      <w:r w:rsidR="00236461">
        <w:rPr>
          <w:lang w:eastAsia="en-GB"/>
        </w:rPr>
        <w:t>iron and steel sector</w:t>
      </w:r>
      <w:r w:rsidR="002541E3">
        <w:rPr>
          <w:lang w:eastAsia="en-GB"/>
        </w:rPr>
        <w:t xml:space="preserve"> to achieve decarbonization</w:t>
      </w:r>
      <w:r w:rsidR="00757369">
        <w:rPr>
          <w:lang w:eastAsia="en-GB"/>
        </w:rPr>
        <w:t xml:space="preserve">. </w:t>
      </w:r>
    </w:p>
    <w:p w14:paraId="304B3009" w14:textId="11E831F9" w:rsidR="00C31E92" w:rsidRDefault="00C31E92" w:rsidP="00D32DF7">
      <w:pPr>
        <w:ind w:firstLine="567"/>
      </w:pPr>
    </w:p>
    <w:p w14:paraId="6D7B9DF9" w14:textId="77777777" w:rsidR="00144909" w:rsidRDefault="00144909" w:rsidP="00747754">
      <w:pPr>
        <w:rPr>
          <w:lang w:eastAsia="en-GB"/>
        </w:rPr>
      </w:pPr>
    </w:p>
    <w:p w14:paraId="347CE63B" w14:textId="77777777" w:rsidR="00C31E92" w:rsidRPr="009221D5" w:rsidRDefault="00C31E92" w:rsidP="0089539B">
      <w:pPr>
        <w:rPr>
          <w:i/>
          <w:iCs/>
          <w:lang w:eastAsia="en-GB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938"/>
      </w:tblGrid>
      <w:tr w:rsidR="00C87840" w:rsidRPr="00C03A92" w14:paraId="13CBA5B9" w14:textId="77777777" w:rsidTr="002541E3">
        <w:trPr>
          <w:trHeight w:val="517"/>
          <w:tblHeader/>
        </w:trPr>
        <w:tc>
          <w:tcPr>
            <w:tcW w:w="1271" w:type="dxa"/>
            <w:shd w:val="clear" w:color="auto" w:fill="006283"/>
          </w:tcPr>
          <w:p w14:paraId="2293188A" w14:textId="7327EE2F" w:rsidR="00C87840" w:rsidRPr="00C03A92" w:rsidRDefault="002F78D9" w:rsidP="005C0693">
            <w:pPr>
              <w:spacing w:before="20"/>
              <w:jc w:val="center"/>
              <w:rPr>
                <w:rFonts w:eastAsia="Batang" w:cstheme="minorHAnsi"/>
                <w:b/>
                <w:color w:val="FFFFFF" w:themeColor="background1"/>
                <w:szCs w:val="18"/>
              </w:rPr>
            </w:pPr>
            <w:r>
              <w:rPr>
                <w:rFonts w:eastAsia="Batang" w:cstheme="minorHAnsi"/>
                <w:b/>
                <w:color w:val="FFFFFF" w:themeColor="background1"/>
                <w:szCs w:val="18"/>
              </w:rPr>
              <w:t>Time</w:t>
            </w:r>
          </w:p>
        </w:tc>
        <w:tc>
          <w:tcPr>
            <w:tcW w:w="7938" w:type="dxa"/>
            <w:shd w:val="clear" w:color="auto" w:fill="006283"/>
          </w:tcPr>
          <w:p w14:paraId="00212D18" w14:textId="20D170B6" w:rsidR="00C87840" w:rsidRPr="00C03A92" w:rsidRDefault="00F54871" w:rsidP="005C0693">
            <w:pPr>
              <w:spacing w:before="20"/>
              <w:jc w:val="center"/>
              <w:rPr>
                <w:rFonts w:eastAsia="Batang" w:cstheme="minorHAnsi"/>
                <w:b/>
                <w:color w:val="FFFFFF" w:themeColor="background1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Cs w:val="18"/>
              </w:rPr>
              <w:t xml:space="preserve">Day 1: </w:t>
            </w:r>
            <w:r w:rsidR="00465A62">
              <w:rPr>
                <w:rFonts w:cstheme="minorHAnsi"/>
                <w:b/>
                <w:color w:val="FFFFFF" w:themeColor="background1"/>
                <w:szCs w:val="18"/>
              </w:rPr>
              <w:t xml:space="preserve">Tuesday, </w:t>
            </w:r>
            <w:r w:rsidR="0098753D">
              <w:rPr>
                <w:rFonts w:cstheme="minorHAnsi"/>
                <w:b/>
                <w:color w:val="FFFFFF" w:themeColor="background1"/>
                <w:szCs w:val="18"/>
              </w:rPr>
              <w:t>14 November</w:t>
            </w:r>
          </w:p>
        </w:tc>
      </w:tr>
      <w:tr w:rsidR="00C87840" w:rsidRPr="00C03A92" w14:paraId="6BA9E632" w14:textId="77777777" w:rsidTr="002541E3">
        <w:trPr>
          <w:trHeight w:val="393"/>
        </w:trPr>
        <w:tc>
          <w:tcPr>
            <w:tcW w:w="9209" w:type="dxa"/>
            <w:gridSpan w:val="2"/>
            <w:shd w:val="clear" w:color="auto" w:fill="C6D9F1" w:themeFill="text2" w:themeFillTint="33"/>
            <w:vAlign w:val="center"/>
          </w:tcPr>
          <w:p w14:paraId="77EA1EBB" w14:textId="66C856FF" w:rsidR="00C87840" w:rsidRPr="00C03A92" w:rsidRDefault="000A3CB4" w:rsidP="00465A62">
            <w:pPr>
              <w:spacing w:before="20"/>
              <w:jc w:val="center"/>
              <w:rPr>
                <w:rFonts w:cstheme="minorHAnsi"/>
                <w:bCs/>
                <w:szCs w:val="18"/>
              </w:rPr>
            </w:pPr>
            <w:r w:rsidRPr="00C03A92">
              <w:rPr>
                <w:rFonts w:cstheme="minorHAnsi"/>
                <w:b/>
                <w:szCs w:val="18"/>
              </w:rPr>
              <w:t>The WTO TBT Agreement: general overview</w:t>
            </w:r>
          </w:p>
        </w:tc>
      </w:tr>
      <w:tr w:rsidR="004A2946" w:rsidRPr="00757369" w14:paraId="10045CB7" w14:textId="77777777" w:rsidTr="002541E3">
        <w:trPr>
          <w:trHeight w:val="812"/>
        </w:trPr>
        <w:tc>
          <w:tcPr>
            <w:tcW w:w="1271" w:type="dxa"/>
            <w:vAlign w:val="center"/>
          </w:tcPr>
          <w:p w14:paraId="6E28E5D0" w14:textId="34A90F08" w:rsidR="004A2946" w:rsidRPr="002541E3" w:rsidRDefault="005B4EE1" w:rsidP="002541E3">
            <w:pPr>
              <w:jc w:val="left"/>
              <w:rPr>
                <w:rFonts w:eastAsia="Batang" w:cstheme="minorHAnsi"/>
                <w:sz w:val="16"/>
                <w:szCs w:val="16"/>
              </w:rPr>
            </w:pPr>
            <w:r w:rsidRPr="002541E3">
              <w:rPr>
                <w:rFonts w:eastAsia="Batang" w:cstheme="minorHAnsi"/>
                <w:sz w:val="16"/>
                <w:szCs w:val="16"/>
              </w:rPr>
              <w:t>9:00-10:</w:t>
            </w:r>
            <w:r w:rsidR="00610216" w:rsidRPr="002541E3">
              <w:rPr>
                <w:rFonts w:eastAsia="Batang" w:cstheme="minorHAnsi"/>
                <w:sz w:val="16"/>
                <w:szCs w:val="16"/>
              </w:rPr>
              <w:t>20</w:t>
            </w:r>
          </w:p>
        </w:tc>
        <w:tc>
          <w:tcPr>
            <w:tcW w:w="7938" w:type="dxa"/>
            <w:vAlign w:val="center"/>
          </w:tcPr>
          <w:p w14:paraId="667A1707" w14:textId="77777777" w:rsidR="005B4EE1" w:rsidRPr="00757369" w:rsidRDefault="005B4EE1" w:rsidP="002541E3">
            <w:pPr>
              <w:jc w:val="left"/>
              <w:rPr>
                <w:szCs w:val="18"/>
                <w:lang w:eastAsia="en-GB"/>
              </w:rPr>
            </w:pPr>
          </w:p>
          <w:p w14:paraId="18308C42" w14:textId="77777777" w:rsidR="00427355" w:rsidRDefault="002A3392" w:rsidP="002541E3">
            <w:pPr>
              <w:jc w:val="left"/>
              <w:rPr>
                <w:szCs w:val="18"/>
                <w:lang w:eastAsia="en-GB"/>
              </w:rPr>
            </w:pPr>
            <w:r w:rsidRPr="002A3392">
              <w:rPr>
                <w:b/>
                <w:bCs/>
                <w:szCs w:val="18"/>
                <w:lang w:eastAsia="en-GB"/>
              </w:rPr>
              <w:t>Opening and introductions</w:t>
            </w:r>
            <w:r>
              <w:rPr>
                <w:szCs w:val="18"/>
                <w:lang w:eastAsia="en-GB"/>
              </w:rPr>
              <w:t xml:space="preserve"> </w:t>
            </w:r>
          </w:p>
          <w:p w14:paraId="3B0E228D" w14:textId="2C3F32CC" w:rsidR="004A2946" w:rsidRPr="00757369" w:rsidRDefault="00427355" w:rsidP="002541E3">
            <w:pPr>
              <w:jc w:val="left"/>
              <w:rPr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 xml:space="preserve">- </w:t>
            </w:r>
            <w:r w:rsidR="002A3392">
              <w:rPr>
                <w:szCs w:val="18"/>
                <w:lang w:eastAsia="en-GB"/>
              </w:rPr>
              <w:t>Philippine representatives and WTO</w:t>
            </w:r>
          </w:p>
          <w:p w14:paraId="5BBB52AE" w14:textId="77777777" w:rsidR="002A3392" w:rsidRDefault="002A3392" w:rsidP="002541E3">
            <w:pPr>
              <w:jc w:val="left"/>
              <w:rPr>
                <w:szCs w:val="18"/>
                <w:lang w:eastAsia="en-GB"/>
              </w:rPr>
            </w:pPr>
          </w:p>
          <w:p w14:paraId="299CC09F" w14:textId="1C35F662" w:rsidR="0001284A" w:rsidRDefault="002A3392" w:rsidP="002541E3">
            <w:pPr>
              <w:jc w:val="left"/>
              <w:rPr>
                <w:b/>
                <w:bCs/>
                <w:szCs w:val="18"/>
                <w:lang w:eastAsia="en-GB"/>
              </w:rPr>
            </w:pPr>
            <w:r w:rsidRPr="002A3392">
              <w:rPr>
                <w:b/>
                <w:bCs/>
                <w:szCs w:val="18"/>
                <w:lang w:eastAsia="en-GB"/>
              </w:rPr>
              <w:t>Overview</w:t>
            </w:r>
            <w:r>
              <w:rPr>
                <w:b/>
                <w:bCs/>
                <w:szCs w:val="18"/>
                <w:lang w:eastAsia="en-GB"/>
              </w:rPr>
              <w:t xml:space="preserve"> of WTO and TBT Agreement</w:t>
            </w:r>
          </w:p>
          <w:p w14:paraId="0C3807DD" w14:textId="0D516CA5" w:rsidR="00427355" w:rsidRDefault="00427355" w:rsidP="002541E3">
            <w:pPr>
              <w:jc w:val="left"/>
              <w:rPr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- WTO</w:t>
            </w:r>
          </w:p>
          <w:p w14:paraId="32054A69" w14:textId="1F6966E2" w:rsidR="002A3392" w:rsidRPr="00757369" w:rsidRDefault="002A3392" w:rsidP="002541E3">
            <w:pPr>
              <w:jc w:val="left"/>
              <w:rPr>
                <w:szCs w:val="18"/>
                <w:lang w:eastAsia="en-GB"/>
              </w:rPr>
            </w:pPr>
          </w:p>
        </w:tc>
      </w:tr>
      <w:tr w:rsidR="005B4EE1" w:rsidRPr="00757369" w14:paraId="4746FBF8" w14:textId="77777777" w:rsidTr="002541E3">
        <w:trPr>
          <w:trHeight w:val="812"/>
        </w:trPr>
        <w:tc>
          <w:tcPr>
            <w:tcW w:w="1271" w:type="dxa"/>
            <w:vAlign w:val="center"/>
          </w:tcPr>
          <w:p w14:paraId="38A98094" w14:textId="3212A2CA" w:rsidR="005B4EE1" w:rsidRPr="002541E3" w:rsidRDefault="005B4EE1" w:rsidP="002541E3">
            <w:pPr>
              <w:jc w:val="left"/>
              <w:rPr>
                <w:rFonts w:eastAsia="Batang" w:cstheme="minorHAnsi"/>
                <w:sz w:val="16"/>
                <w:szCs w:val="16"/>
              </w:rPr>
            </w:pPr>
            <w:r w:rsidRPr="002541E3">
              <w:rPr>
                <w:rFonts w:eastAsia="Batang" w:cstheme="minorHAnsi"/>
                <w:sz w:val="16"/>
                <w:szCs w:val="16"/>
              </w:rPr>
              <w:t>10:</w:t>
            </w:r>
            <w:r w:rsidR="00610216" w:rsidRPr="002541E3">
              <w:rPr>
                <w:rFonts w:eastAsia="Batang" w:cstheme="minorHAnsi"/>
                <w:sz w:val="16"/>
                <w:szCs w:val="16"/>
              </w:rPr>
              <w:t>20</w:t>
            </w:r>
            <w:r w:rsidRPr="002541E3">
              <w:rPr>
                <w:rFonts w:eastAsia="Batang" w:cstheme="minorHAnsi"/>
                <w:sz w:val="16"/>
                <w:szCs w:val="16"/>
              </w:rPr>
              <w:t>-10:</w:t>
            </w:r>
            <w:r w:rsidR="00610216" w:rsidRPr="002541E3">
              <w:rPr>
                <w:rFonts w:eastAsia="Batang" w:cstheme="minorHAnsi"/>
                <w:sz w:val="16"/>
                <w:szCs w:val="16"/>
              </w:rPr>
              <w:t>4</w:t>
            </w:r>
            <w:r w:rsidR="00F605B7" w:rsidRPr="002541E3">
              <w:rPr>
                <w:rFonts w:eastAsia="Batang" w:cstheme="minorHAnsi"/>
                <w:sz w:val="16"/>
                <w:szCs w:val="16"/>
              </w:rPr>
              <w:t>0</w:t>
            </w:r>
          </w:p>
        </w:tc>
        <w:tc>
          <w:tcPr>
            <w:tcW w:w="7938" w:type="dxa"/>
            <w:vAlign w:val="center"/>
          </w:tcPr>
          <w:p w14:paraId="59B6722D" w14:textId="3EF1B3A3" w:rsidR="005B4EE1" w:rsidRPr="00757369" w:rsidRDefault="005B4EE1" w:rsidP="002541E3">
            <w:pPr>
              <w:jc w:val="left"/>
              <w:rPr>
                <w:szCs w:val="18"/>
                <w:lang w:eastAsia="en-GB"/>
              </w:rPr>
            </w:pPr>
            <w:r w:rsidRPr="00757369">
              <w:rPr>
                <w:szCs w:val="18"/>
                <w:lang w:eastAsia="en-GB"/>
              </w:rPr>
              <w:t xml:space="preserve">Coffee </w:t>
            </w:r>
            <w:r w:rsidR="00610216" w:rsidRPr="00757369">
              <w:rPr>
                <w:szCs w:val="18"/>
                <w:lang w:eastAsia="en-GB"/>
              </w:rPr>
              <w:t>b</w:t>
            </w:r>
            <w:r w:rsidRPr="00757369">
              <w:rPr>
                <w:szCs w:val="18"/>
                <w:lang w:eastAsia="en-GB"/>
              </w:rPr>
              <w:t xml:space="preserve">reak </w:t>
            </w:r>
          </w:p>
        </w:tc>
      </w:tr>
      <w:tr w:rsidR="004A2946" w:rsidRPr="00757369" w14:paraId="279D875E" w14:textId="77777777" w:rsidTr="002541E3">
        <w:trPr>
          <w:trHeight w:val="205"/>
        </w:trPr>
        <w:tc>
          <w:tcPr>
            <w:tcW w:w="1271" w:type="dxa"/>
            <w:vAlign w:val="center"/>
          </w:tcPr>
          <w:p w14:paraId="49294060" w14:textId="6B48572B" w:rsidR="004A2946" w:rsidRPr="002541E3" w:rsidRDefault="005B4EE1" w:rsidP="002541E3">
            <w:pPr>
              <w:jc w:val="left"/>
              <w:rPr>
                <w:rFonts w:eastAsia="Batang" w:cstheme="minorHAnsi"/>
                <w:sz w:val="16"/>
                <w:szCs w:val="16"/>
              </w:rPr>
            </w:pPr>
            <w:r w:rsidRPr="002541E3">
              <w:rPr>
                <w:rFonts w:eastAsia="Batang" w:cstheme="minorHAnsi"/>
                <w:sz w:val="16"/>
                <w:szCs w:val="16"/>
              </w:rPr>
              <w:t>1</w:t>
            </w:r>
            <w:r w:rsidR="00F605B7" w:rsidRPr="002541E3">
              <w:rPr>
                <w:rFonts w:eastAsia="Batang" w:cstheme="minorHAnsi"/>
                <w:sz w:val="16"/>
                <w:szCs w:val="16"/>
              </w:rPr>
              <w:t>0</w:t>
            </w:r>
            <w:r w:rsidRPr="002541E3">
              <w:rPr>
                <w:rFonts w:eastAsia="Batang" w:cstheme="minorHAnsi"/>
                <w:sz w:val="16"/>
                <w:szCs w:val="16"/>
              </w:rPr>
              <w:t>:</w:t>
            </w:r>
            <w:r w:rsidR="00610216" w:rsidRPr="002541E3">
              <w:rPr>
                <w:rFonts w:eastAsia="Batang" w:cstheme="minorHAnsi"/>
                <w:sz w:val="16"/>
                <w:szCs w:val="16"/>
              </w:rPr>
              <w:t>4</w:t>
            </w:r>
            <w:r w:rsidRPr="002541E3">
              <w:rPr>
                <w:rFonts w:eastAsia="Batang" w:cstheme="minorHAnsi"/>
                <w:sz w:val="16"/>
                <w:szCs w:val="16"/>
              </w:rPr>
              <w:t>0-12:00</w:t>
            </w:r>
          </w:p>
        </w:tc>
        <w:tc>
          <w:tcPr>
            <w:tcW w:w="7938" w:type="dxa"/>
            <w:vAlign w:val="center"/>
          </w:tcPr>
          <w:p w14:paraId="4EE5E033" w14:textId="77777777" w:rsidR="00EA0759" w:rsidRDefault="002A3392" w:rsidP="002541E3">
            <w:pPr>
              <w:jc w:val="left"/>
            </w:pPr>
            <w:r w:rsidRPr="002A3392">
              <w:rPr>
                <w:b/>
                <w:bCs/>
              </w:rPr>
              <w:t>Overview</w:t>
            </w:r>
            <w:r>
              <w:rPr>
                <w:b/>
                <w:bCs/>
              </w:rPr>
              <w:t xml:space="preserve"> of WTO and TBT Agreement,</w:t>
            </w:r>
            <w:r>
              <w:t xml:space="preserve"> </w:t>
            </w:r>
          </w:p>
          <w:p w14:paraId="48C98388" w14:textId="1518FBD4" w:rsidR="00EA0759" w:rsidRDefault="00EA0759" w:rsidP="002541E3">
            <w:pPr>
              <w:jc w:val="left"/>
            </w:pPr>
            <w:r>
              <w:t>- WTO</w:t>
            </w:r>
          </w:p>
          <w:p w14:paraId="4E9790DF" w14:textId="16BA304A" w:rsidR="0001284A" w:rsidRPr="004C3F94" w:rsidRDefault="0001284A" w:rsidP="002541E3">
            <w:pPr>
              <w:jc w:val="left"/>
            </w:pPr>
          </w:p>
        </w:tc>
      </w:tr>
      <w:tr w:rsidR="005B4EE1" w:rsidRPr="00757369" w14:paraId="7809F31F" w14:textId="77777777" w:rsidTr="002541E3">
        <w:trPr>
          <w:trHeight w:val="660"/>
        </w:trPr>
        <w:tc>
          <w:tcPr>
            <w:tcW w:w="1271" w:type="dxa"/>
            <w:vAlign w:val="center"/>
          </w:tcPr>
          <w:p w14:paraId="632B1802" w14:textId="74F38BB2" w:rsidR="005B4EE1" w:rsidRPr="002541E3" w:rsidRDefault="005B4EE1" w:rsidP="002541E3">
            <w:pPr>
              <w:jc w:val="left"/>
              <w:rPr>
                <w:rFonts w:eastAsia="Batang" w:cstheme="minorHAnsi"/>
                <w:sz w:val="16"/>
                <w:szCs w:val="16"/>
              </w:rPr>
            </w:pPr>
            <w:r w:rsidRPr="002541E3">
              <w:rPr>
                <w:rFonts w:eastAsia="Batang" w:cstheme="minorHAnsi"/>
                <w:sz w:val="16"/>
                <w:szCs w:val="16"/>
              </w:rPr>
              <w:t>12:00-13:00</w:t>
            </w:r>
          </w:p>
        </w:tc>
        <w:tc>
          <w:tcPr>
            <w:tcW w:w="7938" w:type="dxa"/>
            <w:vAlign w:val="center"/>
          </w:tcPr>
          <w:p w14:paraId="0744DE1F" w14:textId="4E4210C0" w:rsidR="005B4EE1" w:rsidRPr="00757369" w:rsidRDefault="005B4EE1" w:rsidP="002541E3">
            <w:pPr>
              <w:jc w:val="left"/>
            </w:pPr>
            <w:r w:rsidRPr="00757369">
              <w:t xml:space="preserve">Lunch </w:t>
            </w:r>
          </w:p>
        </w:tc>
      </w:tr>
      <w:tr w:rsidR="004A2946" w:rsidRPr="00757369" w14:paraId="57E5B125" w14:textId="77777777" w:rsidTr="002541E3">
        <w:trPr>
          <w:trHeight w:val="48"/>
        </w:trPr>
        <w:tc>
          <w:tcPr>
            <w:tcW w:w="1271" w:type="dxa"/>
            <w:vAlign w:val="center"/>
          </w:tcPr>
          <w:p w14:paraId="5235BDEA" w14:textId="581B7FF8" w:rsidR="004A2946" w:rsidRPr="002541E3" w:rsidRDefault="005B4EE1" w:rsidP="002541E3">
            <w:pPr>
              <w:jc w:val="left"/>
              <w:rPr>
                <w:rFonts w:eastAsia="Batang" w:cstheme="minorHAnsi"/>
                <w:sz w:val="16"/>
                <w:szCs w:val="16"/>
              </w:rPr>
            </w:pPr>
            <w:r w:rsidRPr="002541E3">
              <w:rPr>
                <w:rFonts w:eastAsia="Batang" w:cstheme="minorHAnsi"/>
                <w:sz w:val="16"/>
                <w:szCs w:val="16"/>
              </w:rPr>
              <w:t>13:00-</w:t>
            </w:r>
            <w:r w:rsidR="00F605B7" w:rsidRPr="002541E3">
              <w:rPr>
                <w:rFonts w:eastAsia="Batang" w:cstheme="minorHAnsi"/>
                <w:sz w:val="16"/>
                <w:szCs w:val="16"/>
              </w:rPr>
              <w:t>14:</w:t>
            </w:r>
            <w:r w:rsidR="00610216" w:rsidRPr="002541E3">
              <w:rPr>
                <w:rFonts w:eastAsia="Batang" w:cstheme="minorHAnsi"/>
                <w:sz w:val="16"/>
                <w:szCs w:val="16"/>
              </w:rPr>
              <w:t>45</w:t>
            </w:r>
          </w:p>
        </w:tc>
        <w:tc>
          <w:tcPr>
            <w:tcW w:w="7938" w:type="dxa"/>
            <w:vAlign w:val="center"/>
          </w:tcPr>
          <w:p w14:paraId="1068494B" w14:textId="77777777" w:rsidR="00C528E6" w:rsidRPr="00C528E6" w:rsidRDefault="00C528E6" w:rsidP="002541E3">
            <w:pPr>
              <w:jc w:val="left"/>
              <w:rPr>
                <w:b/>
                <w:bCs/>
              </w:rPr>
            </w:pPr>
            <w:r w:rsidRPr="00C528E6">
              <w:rPr>
                <w:b/>
                <w:bCs/>
              </w:rPr>
              <w:t>Technical Regulations and Good Regulatory Practices (GRP)</w:t>
            </w:r>
          </w:p>
          <w:p w14:paraId="0BD06E4F" w14:textId="77777777" w:rsidR="00C528E6" w:rsidRDefault="00C528E6" w:rsidP="002541E3">
            <w:pPr>
              <w:jc w:val="left"/>
            </w:pPr>
            <w:r w:rsidRPr="00757369">
              <w:t xml:space="preserve">What </w:t>
            </w:r>
            <w:proofErr w:type="gramStart"/>
            <w:r w:rsidRPr="00757369">
              <w:t>are</w:t>
            </w:r>
            <w:proofErr w:type="gramEnd"/>
            <w:r w:rsidRPr="00757369">
              <w:t xml:space="preserve"> the GRP and how can they contribute to effective implementation of the obligations under the TBT Agreement? Exercise.</w:t>
            </w:r>
          </w:p>
          <w:p w14:paraId="1A3CD82F" w14:textId="4C41FAD8" w:rsidR="00427355" w:rsidRPr="00757369" w:rsidRDefault="00427355" w:rsidP="002541E3">
            <w:pPr>
              <w:jc w:val="left"/>
            </w:pPr>
            <w:r>
              <w:t>- WTO</w:t>
            </w:r>
          </w:p>
          <w:p w14:paraId="72C3AD8B" w14:textId="228F604C" w:rsidR="0001284A" w:rsidRPr="00757369" w:rsidRDefault="0001284A" w:rsidP="002541E3">
            <w:pPr>
              <w:jc w:val="left"/>
              <w:rPr>
                <w:i/>
                <w:iCs/>
              </w:rPr>
            </w:pPr>
          </w:p>
        </w:tc>
      </w:tr>
      <w:tr w:rsidR="009616AB" w:rsidRPr="00757369" w14:paraId="0703C788" w14:textId="77777777" w:rsidTr="002541E3">
        <w:trPr>
          <w:trHeight w:val="48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AF6E090" w14:textId="6DAE8E95" w:rsidR="009616AB" w:rsidRPr="002541E3" w:rsidRDefault="009616AB" w:rsidP="002541E3">
            <w:pPr>
              <w:jc w:val="left"/>
              <w:rPr>
                <w:rFonts w:eastAsia="Batang" w:cstheme="minorHAnsi"/>
                <w:sz w:val="16"/>
                <w:szCs w:val="16"/>
              </w:rPr>
            </w:pPr>
            <w:r w:rsidRPr="002541E3">
              <w:rPr>
                <w:rFonts w:eastAsia="Batang" w:cstheme="minorHAnsi"/>
                <w:sz w:val="16"/>
                <w:szCs w:val="16"/>
              </w:rPr>
              <w:t>14:</w:t>
            </w:r>
            <w:r w:rsidR="00610216" w:rsidRPr="002541E3">
              <w:rPr>
                <w:rFonts w:eastAsia="Batang" w:cstheme="minorHAnsi"/>
                <w:sz w:val="16"/>
                <w:szCs w:val="16"/>
              </w:rPr>
              <w:t>45</w:t>
            </w:r>
            <w:r w:rsidRPr="002541E3">
              <w:rPr>
                <w:rFonts w:eastAsia="Batang" w:cstheme="minorHAnsi"/>
                <w:sz w:val="16"/>
                <w:szCs w:val="16"/>
              </w:rPr>
              <w:t>-</w:t>
            </w:r>
            <w:r w:rsidR="00610216" w:rsidRPr="002541E3">
              <w:rPr>
                <w:rFonts w:eastAsia="Batang" w:cstheme="minorHAnsi"/>
                <w:sz w:val="16"/>
                <w:szCs w:val="16"/>
              </w:rPr>
              <w:t>15:05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6C11EED1" w14:textId="3AE72040" w:rsidR="009616AB" w:rsidRPr="00757369" w:rsidRDefault="009616AB" w:rsidP="002541E3">
            <w:pPr>
              <w:jc w:val="left"/>
              <w:rPr>
                <w:szCs w:val="18"/>
                <w:lang w:eastAsia="en-GB"/>
              </w:rPr>
            </w:pPr>
            <w:r w:rsidRPr="00757369">
              <w:rPr>
                <w:szCs w:val="18"/>
                <w:lang w:eastAsia="en-GB"/>
              </w:rPr>
              <w:t xml:space="preserve">Coffee break </w:t>
            </w:r>
          </w:p>
        </w:tc>
      </w:tr>
      <w:tr w:rsidR="00F605B7" w:rsidRPr="00757369" w14:paraId="7F5786F7" w14:textId="77777777" w:rsidTr="002541E3">
        <w:trPr>
          <w:trHeight w:val="4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59F1" w14:textId="14DE2BD6" w:rsidR="00F605B7" w:rsidRPr="002541E3" w:rsidRDefault="009616AB" w:rsidP="002541E3">
            <w:pPr>
              <w:jc w:val="left"/>
              <w:rPr>
                <w:rFonts w:eastAsia="Batang" w:cstheme="minorHAnsi"/>
                <w:sz w:val="16"/>
                <w:szCs w:val="16"/>
              </w:rPr>
            </w:pPr>
            <w:r w:rsidRPr="002541E3">
              <w:rPr>
                <w:rFonts w:eastAsia="Batang" w:cstheme="minorHAnsi"/>
                <w:sz w:val="16"/>
                <w:szCs w:val="16"/>
              </w:rPr>
              <w:t>1</w:t>
            </w:r>
            <w:r w:rsidR="00610216" w:rsidRPr="002541E3">
              <w:rPr>
                <w:rFonts w:eastAsia="Batang" w:cstheme="minorHAnsi"/>
                <w:sz w:val="16"/>
                <w:szCs w:val="16"/>
              </w:rPr>
              <w:t>5:05</w:t>
            </w:r>
            <w:r w:rsidRPr="002541E3">
              <w:rPr>
                <w:rFonts w:eastAsia="Batang" w:cstheme="minorHAnsi"/>
                <w:sz w:val="16"/>
                <w:szCs w:val="16"/>
              </w:rPr>
              <w:t>-16:00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DD9E" w14:textId="77777777" w:rsidR="009616AB" w:rsidRPr="00757369" w:rsidRDefault="009616AB" w:rsidP="002541E3">
            <w:pPr>
              <w:jc w:val="left"/>
              <w:rPr>
                <w:rFonts w:cs="Arial"/>
                <w:szCs w:val="18"/>
              </w:rPr>
            </w:pPr>
          </w:p>
          <w:p w14:paraId="6FE5C2C4" w14:textId="77777777" w:rsidR="00C528E6" w:rsidRPr="002A3392" w:rsidRDefault="00C528E6" w:rsidP="002541E3">
            <w:pPr>
              <w:jc w:val="left"/>
              <w:rPr>
                <w:b/>
                <w:bCs/>
                <w:szCs w:val="18"/>
                <w:lang w:eastAsia="en-GB"/>
              </w:rPr>
            </w:pPr>
            <w:r w:rsidRPr="002A3392">
              <w:rPr>
                <w:b/>
                <w:bCs/>
                <w:szCs w:val="18"/>
                <w:lang w:eastAsia="en-GB"/>
              </w:rPr>
              <w:t>Standards and Trade</w:t>
            </w:r>
          </w:p>
          <w:p w14:paraId="36F94F15" w14:textId="6FC14D29" w:rsidR="00EA0759" w:rsidRDefault="00C528E6" w:rsidP="002541E3">
            <w:pPr>
              <w:jc w:val="left"/>
              <w:rPr>
                <w:szCs w:val="18"/>
                <w:lang w:eastAsia="en-GB"/>
              </w:rPr>
            </w:pPr>
            <w:r w:rsidRPr="00757369">
              <w:rPr>
                <w:szCs w:val="18"/>
                <w:lang w:eastAsia="en-GB"/>
              </w:rPr>
              <w:t>Overview of WTO TBT disciplines and guidance on the preparation, adoption and application of national standards, regional standards, and international standards</w:t>
            </w:r>
            <w:r w:rsidR="00EA0759">
              <w:rPr>
                <w:szCs w:val="18"/>
                <w:lang w:eastAsia="en-GB"/>
              </w:rPr>
              <w:t>.</w:t>
            </w:r>
          </w:p>
          <w:p w14:paraId="2E69AAB1" w14:textId="77777777" w:rsidR="00F605B7" w:rsidRDefault="00427355" w:rsidP="002541E3">
            <w:pPr>
              <w:jc w:val="left"/>
              <w:rPr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- WTO</w:t>
            </w:r>
          </w:p>
          <w:p w14:paraId="5B0C3B9B" w14:textId="65BA12A1" w:rsidR="00EA0759" w:rsidRPr="00757369" w:rsidRDefault="00EA0759" w:rsidP="002541E3">
            <w:pPr>
              <w:jc w:val="left"/>
              <w:rPr>
                <w:szCs w:val="18"/>
                <w:lang w:eastAsia="en-GB"/>
              </w:rPr>
            </w:pPr>
          </w:p>
        </w:tc>
      </w:tr>
    </w:tbl>
    <w:p w14:paraId="344E9596" w14:textId="443E942D" w:rsidR="002F78D9" w:rsidRDefault="002F78D9" w:rsidP="00182A75"/>
    <w:p w14:paraId="3ED7F684" w14:textId="6FE5F414" w:rsidR="00EB2E14" w:rsidRDefault="00EB2E14">
      <w:pPr>
        <w:spacing w:after="200" w:line="276" w:lineRule="auto"/>
        <w:jc w:val="left"/>
      </w:pPr>
      <w:r>
        <w:br w:type="page"/>
      </w:r>
    </w:p>
    <w:p w14:paraId="63D1856B" w14:textId="77777777" w:rsidR="00F54871" w:rsidRDefault="00F54871" w:rsidP="00182A75"/>
    <w:p w14:paraId="21813041" w14:textId="77777777" w:rsidR="00F54871" w:rsidRDefault="00F54871" w:rsidP="00182A75"/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325"/>
      </w:tblGrid>
      <w:tr w:rsidR="002F78D9" w:rsidRPr="00C03A92" w14:paraId="3737972D" w14:textId="77777777" w:rsidTr="002541E3">
        <w:trPr>
          <w:trHeight w:val="542"/>
          <w:tblHeader/>
        </w:trPr>
        <w:tc>
          <w:tcPr>
            <w:tcW w:w="1271" w:type="dxa"/>
            <w:shd w:val="clear" w:color="auto" w:fill="006283"/>
          </w:tcPr>
          <w:p w14:paraId="10BD915E" w14:textId="77777777" w:rsidR="002F78D9" w:rsidRPr="00C03A92" w:rsidRDefault="002F78D9" w:rsidP="001D7D61">
            <w:pPr>
              <w:spacing w:before="20"/>
              <w:jc w:val="center"/>
              <w:rPr>
                <w:rFonts w:eastAsia="Batang" w:cstheme="minorHAnsi"/>
                <w:b/>
                <w:color w:val="FFFFFF" w:themeColor="background1"/>
                <w:szCs w:val="18"/>
              </w:rPr>
            </w:pPr>
            <w:r>
              <w:rPr>
                <w:rFonts w:eastAsia="Batang" w:cstheme="minorHAnsi"/>
                <w:b/>
                <w:color w:val="FFFFFF" w:themeColor="background1"/>
                <w:szCs w:val="18"/>
              </w:rPr>
              <w:t>Time</w:t>
            </w:r>
          </w:p>
        </w:tc>
        <w:tc>
          <w:tcPr>
            <w:tcW w:w="8325" w:type="dxa"/>
            <w:shd w:val="clear" w:color="auto" w:fill="006283"/>
          </w:tcPr>
          <w:p w14:paraId="537E816A" w14:textId="14529737" w:rsidR="002F78D9" w:rsidRPr="00C03A92" w:rsidRDefault="00EB2E14" w:rsidP="001D7D61">
            <w:pPr>
              <w:spacing w:before="20"/>
              <w:jc w:val="center"/>
              <w:rPr>
                <w:rFonts w:eastAsia="Batang" w:cstheme="minorHAnsi"/>
                <w:b/>
                <w:color w:val="FFFFFF" w:themeColor="background1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Cs w:val="18"/>
              </w:rPr>
              <w:t xml:space="preserve">Day 2: Wednesday, </w:t>
            </w:r>
            <w:r w:rsidR="0098753D">
              <w:rPr>
                <w:rFonts w:cstheme="minorHAnsi"/>
                <w:b/>
                <w:color w:val="FFFFFF" w:themeColor="background1"/>
                <w:szCs w:val="18"/>
              </w:rPr>
              <w:t>15 November</w:t>
            </w:r>
          </w:p>
        </w:tc>
      </w:tr>
      <w:tr w:rsidR="002F78D9" w:rsidRPr="00C03A92" w14:paraId="0AC6AC76" w14:textId="77777777" w:rsidTr="002541E3">
        <w:trPr>
          <w:trHeight w:val="412"/>
        </w:trPr>
        <w:tc>
          <w:tcPr>
            <w:tcW w:w="9596" w:type="dxa"/>
            <w:gridSpan w:val="2"/>
            <w:shd w:val="clear" w:color="auto" w:fill="C6D9F1" w:themeFill="text2" w:themeFillTint="33"/>
            <w:vAlign w:val="center"/>
          </w:tcPr>
          <w:p w14:paraId="6AAF60C1" w14:textId="77777777" w:rsidR="002F78D9" w:rsidRPr="00C03A92" w:rsidRDefault="002F78D9" w:rsidP="001D7D61">
            <w:pPr>
              <w:spacing w:before="20"/>
              <w:jc w:val="center"/>
              <w:rPr>
                <w:rFonts w:eastAsia="Batang" w:cstheme="minorHAnsi"/>
                <w:b/>
                <w:iCs/>
                <w:szCs w:val="18"/>
              </w:rPr>
            </w:pPr>
            <w:r w:rsidRPr="00C03A92">
              <w:rPr>
                <w:rFonts w:cstheme="minorHAnsi"/>
                <w:b/>
                <w:szCs w:val="18"/>
              </w:rPr>
              <w:t>The WTO TBT Agreement: general overview</w:t>
            </w:r>
          </w:p>
          <w:p w14:paraId="651FA9EC" w14:textId="25D3A400" w:rsidR="002F78D9" w:rsidRPr="00C03A92" w:rsidRDefault="002F78D9" w:rsidP="001D7D61">
            <w:pPr>
              <w:jc w:val="center"/>
              <w:rPr>
                <w:rFonts w:cstheme="minorHAnsi"/>
                <w:bCs/>
                <w:szCs w:val="18"/>
              </w:rPr>
            </w:pPr>
          </w:p>
        </w:tc>
      </w:tr>
      <w:tr w:rsidR="002F78D9" w:rsidRPr="00C03A92" w14:paraId="768BB903" w14:textId="77777777" w:rsidTr="002541E3">
        <w:trPr>
          <w:trHeight w:val="851"/>
        </w:trPr>
        <w:tc>
          <w:tcPr>
            <w:tcW w:w="1271" w:type="dxa"/>
            <w:vAlign w:val="center"/>
          </w:tcPr>
          <w:p w14:paraId="02D2E9A9" w14:textId="59C7C207" w:rsidR="002F78D9" w:rsidRPr="002541E3" w:rsidRDefault="00610216" w:rsidP="002541E3">
            <w:pPr>
              <w:jc w:val="left"/>
              <w:rPr>
                <w:rFonts w:eastAsia="Batang" w:cstheme="minorHAnsi"/>
                <w:sz w:val="16"/>
                <w:szCs w:val="16"/>
              </w:rPr>
            </w:pPr>
            <w:r w:rsidRPr="002541E3">
              <w:rPr>
                <w:rFonts w:eastAsia="Batang" w:cstheme="minorHAnsi"/>
                <w:sz w:val="16"/>
                <w:szCs w:val="16"/>
              </w:rPr>
              <w:t>9:00-10:20</w:t>
            </w:r>
          </w:p>
        </w:tc>
        <w:tc>
          <w:tcPr>
            <w:tcW w:w="8325" w:type="dxa"/>
            <w:vAlign w:val="center"/>
          </w:tcPr>
          <w:p w14:paraId="59CF174D" w14:textId="77777777" w:rsidR="009616AB" w:rsidRDefault="009616AB" w:rsidP="002541E3">
            <w:pPr>
              <w:jc w:val="left"/>
              <w:rPr>
                <w:b/>
                <w:bCs/>
              </w:rPr>
            </w:pPr>
          </w:p>
          <w:p w14:paraId="0F1186BB" w14:textId="433816CA" w:rsidR="005E5481" w:rsidRPr="000D79DC" w:rsidRDefault="005E5481" w:rsidP="002541E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Transparency</w:t>
            </w:r>
          </w:p>
          <w:p w14:paraId="2E6A6E61" w14:textId="77777777" w:rsidR="005E5481" w:rsidRDefault="005E5481" w:rsidP="002541E3">
            <w:pPr>
              <w:jc w:val="left"/>
            </w:pPr>
            <w:r>
              <w:t>The key principles of transparency under the TBT Agreement, ePing platform</w:t>
            </w:r>
          </w:p>
          <w:p w14:paraId="70B50620" w14:textId="04E25C4B" w:rsidR="00427355" w:rsidRDefault="00427355" w:rsidP="002541E3">
            <w:pPr>
              <w:jc w:val="left"/>
            </w:pPr>
            <w:r>
              <w:t>-WTO</w:t>
            </w:r>
          </w:p>
          <w:p w14:paraId="62BC8D75" w14:textId="1ADAA598" w:rsidR="00144909" w:rsidRPr="005E5481" w:rsidRDefault="00144909" w:rsidP="002541E3">
            <w:pPr>
              <w:jc w:val="left"/>
              <w:rPr>
                <w:b/>
                <w:bCs/>
                <w:szCs w:val="18"/>
                <w:lang w:eastAsia="en-GB"/>
              </w:rPr>
            </w:pPr>
          </w:p>
        </w:tc>
      </w:tr>
      <w:tr w:rsidR="00610216" w:rsidRPr="00C03A92" w14:paraId="2260CD4F" w14:textId="77777777" w:rsidTr="002541E3">
        <w:trPr>
          <w:trHeight w:val="851"/>
        </w:trPr>
        <w:tc>
          <w:tcPr>
            <w:tcW w:w="1271" w:type="dxa"/>
            <w:vAlign w:val="center"/>
          </w:tcPr>
          <w:p w14:paraId="459415FC" w14:textId="3E53BDA5" w:rsidR="00610216" w:rsidRPr="002541E3" w:rsidRDefault="00610216" w:rsidP="002541E3">
            <w:pPr>
              <w:jc w:val="left"/>
              <w:rPr>
                <w:rFonts w:eastAsia="Batang" w:cstheme="minorHAnsi"/>
                <w:sz w:val="16"/>
                <w:szCs w:val="16"/>
              </w:rPr>
            </w:pPr>
            <w:r w:rsidRPr="002541E3">
              <w:rPr>
                <w:rFonts w:eastAsia="Batang" w:cstheme="minorHAnsi"/>
                <w:sz w:val="16"/>
                <w:szCs w:val="16"/>
              </w:rPr>
              <w:t>10:20-10:40</w:t>
            </w:r>
          </w:p>
        </w:tc>
        <w:tc>
          <w:tcPr>
            <w:tcW w:w="8325" w:type="dxa"/>
            <w:vAlign w:val="center"/>
          </w:tcPr>
          <w:p w14:paraId="5D1C511E" w14:textId="41E41BE5" w:rsidR="00610216" w:rsidRDefault="00610216" w:rsidP="002541E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Coffee break </w:t>
            </w:r>
          </w:p>
        </w:tc>
      </w:tr>
      <w:tr w:rsidR="002F78D9" w:rsidRPr="00C03A92" w14:paraId="08288373" w14:textId="77777777" w:rsidTr="002541E3">
        <w:trPr>
          <w:trHeight w:val="241"/>
        </w:trPr>
        <w:tc>
          <w:tcPr>
            <w:tcW w:w="1271" w:type="dxa"/>
            <w:vAlign w:val="center"/>
          </w:tcPr>
          <w:p w14:paraId="69459D6D" w14:textId="016849EA" w:rsidR="002F78D9" w:rsidRPr="002541E3" w:rsidRDefault="00610216" w:rsidP="002541E3">
            <w:pPr>
              <w:jc w:val="left"/>
              <w:rPr>
                <w:rFonts w:eastAsia="Batang" w:cstheme="minorHAnsi"/>
                <w:sz w:val="16"/>
                <w:szCs w:val="16"/>
              </w:rPr>
            </w:pPr>
            <w:r w:rsidRPr="002541E3">
              <w:rPr>
                <w:rFonts w:eastAsia="Batang" w:cstheme="minorHAnsi"/>
                <w:sz w:val="16"/>
                <w:szCs w:val="16"/>
              </w:rPr>
              <w:t>10:40-12:00</w:t>
            </w:r>
          </w:p>
        </w:tc>
        <w:tc>
          <w:tcPr>
            <w:tcW w:w="8325" w:type="dxa"/>
            <w:vAlign w:val="center"/>
          </w:tcPr>
          <w:p w14:paraId="1CB19889" w14:textId="77777777" w:rsidR="009616AB" w:rsidRDefault="009616AB" w:rsidP="002541E3">
            <w:pPr>
              <w:jc w:val="left"/>
              <w:rPr>
                <w:b/>
                <w:bCs/>
                <w:szCs w:val="18"/>
                <w:lang w:eastAsia="en-GB"/>
              </w:rPr>
            </w:pPr>
          </w:p>
          <w:p w14:paraId="171AA644" w14:textId="565AE733" w:rsidR="00144909" w:rsidRPr="004A2946" w:rsidRDefault="00AC68BB" w:rsidP="002541E3">
            <w:pPr>
              <w:jc w:val="left"/>
              <w:rPr>
                <w:b/>
                <w:bCs/>
                <w:szCs w:val="18"/>
                <w:lang w:eastAsia="en-GB"/>
              </w:rPr>
            </w:pPr>
            <w:r>
              <w:rPr>
                <w:b/>
                <w:bCs/>
                <w:szCs w:val="18"/>
                <w:lang w:eastAsia="en-GB"/>
              </w:rPr>
              <w:t xml:space="preserve">The work of the </w:t>
            </w:r>
            <w:r w:rsidR="00144909">
              <w:rPr>
                <w:b/>
                <w:bCs/>
                <w:szCs w:val="18"/>
                <w:lang w:eastAsia="en-GB"/>
              </w:rPr>
              <w:t>WTO TBT Committee</w:t>
            </w:r>
          </w:p>
          <w:p w14:paraId="1507D831" w14:textId="2F714B25" w:rsidR="002F78D9" w:rsidRDefault="00144909" w:rsidP="002541E3">
            <w:pPr>
              <w:jc w:val="left"/>
              <w:rPr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 xml:space="preserve">Overview of current issues, specific trade concerns, key </w:t>
            </w:r>
            <w:r w:rsidR="00E4295A">
              <w:rPr>
                <w:szCs w:val="18"/>
                <w:lang w:eastAsia="en-GB"/>
              </w:rPr>
              <w:t>decisions,</w:t>
            </w:r>
            <w:r>
              <w:rPr>
                <w:szCs w:val="18"/>
                <w:lang w:eastAsia="en-GB"/>
              </w:rPr>
              <w:t xml:space="preserve"> and recommendations.</w:t>
            </w:r>
          </w:p>
          <w:p w14:paraId="18E46E16" w14:textId="40971F8E" w:rsidR="00427355" w:rsidRDefault="00427355" w:rsidP="002541E3">
            <w:pPr>
              <w:jc w:val="left"/>
              <w:rPr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- WTO</w:t>
            </w:r>
          </w:p>
          <w:p w14:paraId="7BDDD45A" w14:textId="148E6B23" w:rsidR="00144909" w:rsidRPr="004A2946" w:rsidRDefault="00144909" w:rsidP="002541E3">
            <w:pPr>
              <w:jc w:val="left"/>
            </w:pPr>
          </w:p>
        </w:tc>
      </w:tr>
      <w:tr w:rsidR="00610216" w:rsidRPr="00C03A92" w14:paraId="193F557A" w14:textId="77777777" w:rsidTr="002541E3">
        <w:trPr>
          <w:trHeight w:val="938"/>
        </w:trPr>
        <w:tc>
          <w:tcPr>
            <w:tcW w:w="1271" w:type="dxa"/>
            <w:vAlign w:val="center"/>
          </w:tcPr>
          <w:p w14:paraId="190B7AB7" w14:textId="3E9E728F" w:rsidR="00610216" w:rsidRPr="002541E3" w:rsidRDefault="00610216" w:rsidP="002541E3">
            <w:pPr>
              <w:jc w:val="left"/>
              <w:rPr>
                <w:rFonts w:eastAsia="Batang" w:cstheme="minorHAnsi"/>
                <w:sz w:val="16"/>
                <w:szCs w:val="16"/>
              </w:rPr>
            </w:pPr>
            <w:r w:rsidRPr="002541E3">
              <w:rPr>
                <w:rFonts w:eastAsia="Batang" w:cstheme="minorHAnsi"/>
                <w:sz w:val="16"/>
                <w:szCs w:val="16"/>
              </w:rPr>
              <w:t>12:00-13:00</w:t>
            </w:r>
          </w:p>
        </w:tc>
        <w:tc>
          <w:tcPr>
            <w:tcW w:w="8325" w:type="dxa"/>
            <w:vAlign w:val="center"/>
          </w:tcPr>
          <w:p w14:paraId="686F849C" w14:textId="08FE5382" w:rsidR="00610216" w:rsidRDefault="00610216" w:rsidP="002541E3">
            <w:pPr>
              <w:jc w:val="left"/>
              <w:rPr>
                <w:b/>
                <w:bCs/>
                <w:szCs w:val="18"/>
                <w:lang w:eastAsia="en-GB"/>
              </w:rPr>
            </w:pPr>
            <w:r>
              <w:rPr>
                <w:b/>
                <w:bCs/>
                <w:szCs w:val="18"/>
                <w:lang w:eastAsia="en-GB"/>
              </w:rPr>
              <w:t xml:space="preserve">Lunch </w:t>
            </w:r>
          </w:p>
        </w:tc>
      </w:tr>
      <w:tr w:rsidR="002F78D9" w:rsidRPr="00C03A92" w14:paraId="19AAFF4C" w14:textId="77777777" w:rsidTr="002541E3">
        <w:trPr>
          <w:trHeight w:val="215"/>
        </w:trPr>
        <w:tc>
          <w:tcPr>
            <w:tcW w:w="1271" w:type="dxa"/>
            <w:vAlign w:val="center"/>
          </w:tcPr>
          <w:p w14:paraId="154784E8" w14:textId="2E1EDDC3" w:rsidR="002F78D9" w:rsidRPr="002541E3" w:rsidRDefault="00610216" w:rsidP="002541E3">
            <w:pPr>
              <w:jc w:val="left"/>
              <w:rPr>
                <w:rFonts w:eastAsia="Batang" w:cstheme="minorHAnsi"/>
                <w:sz w:val="16"/>
                <w:szCs w:val="16"/>
              </w:rPr>
            </w:pPr>
            <w:r w:rsidRPr="002541E3">
              <w:rPr>
                <w:rFonts w:eastAsia="Batang" w:cstheme="minorHAnsi"/>
                <w:sz w:val="16"/>
                <w:szCs w:val="16"/>
              </w:rPr>
              <w:t>13:00-14:45</w:t>
            </w:r>
          </w:p>
        </w:tc>
        <w:tc>
          <w:tcPr>
            <w:tcW w:w="8325" w:type="dxa"/>
            <w:vAlign w:val="center"/>
          </w:tcPr>
          <w:p w14:paraId="729B7DA8" w14:textId="77777777" w:rsidR="009616AB" w:rsidRDefault="009616AB" w:rsidP="002541E3">
            <w:pPr>
              <w:jc w:val="left"/>
              <w:rPr>
                <w:rFonts w:eastAsia="Batang" w:cstheme="minorHAnsi"/>
                <w:b/>
                <w:bCs/>
                <w:szCs w:val="18"/>
              </w:rPr>
            </w:pPr>
          </w:p>
          <w:p w14:paraId="5B1B955F" w14:textId="0687E171" w:rsidR="009532AB" w:rsidRDefault="008366D9" w:rsidP="002541E3">
            <w:pPr>
              <w:jc w:val="left"/>
              <w:rPr>
                <w:rFonts w:eastAsia="Batang" w:cstheme="minorHAnsi"/>
                <w:szCs w:val="18"/>
              </w:rPr>
            </w:pPr>
            <w:r>
              <w:rPr>
                <w:rFonts w:eastAsia="Batang" w:cstheme="minorHAnsi"/>
                <w:b/>
                <w:bCs/>
                <w:szCs w:val="18"/>
              </w:rPr>
              <w:t xml:space="preserve">Environment and TBT: </w:t>
            </w:r>
            <w:r w:rsidRPr="008366D9">
              <w:rPr>
                <w:rFonts w:eastAsia="Batang" w:cstheme="minorHAnsi"/>
                <w:szCs w:val="18"/>
              </w:rPr>
              <w:t>How the topics of trade and environment arise in the TBT Committee</w:t>
            </w:r>
            <w:r>
              <w:rPr>
                <w:rFonts w:eastAsia="Batang" w:cstheme="minorHAnsi"/>
                <w:szCs w:val="18"/>
              </w:rPr>
              <w:t xml:space="preserve"> (notifications, specific trade concerns, disputes, thematic sessions) </w:t>
            </w:r>
          </w:p>
          <w:p w14:paraId="7071EFBB" w14:textId="517876DD" w:rsidR="009532AB" w:rsidRDefault="009532AB" w:rsidP="002541E3">
            <w:pPr>
              <w:jc w:val="left"/>
              <w:rPr>
                <w:rFonts w:eastAsia="Batang" w:cstheme="minorHAnsi"/>
                <w:szCs w:val="18"/>
              </w:rPr>
            </w:pPr>
            <w:r>
              <w:rPr>
                <w:rFonts w:eastAsia="Batang" w:cstheme="minorHAnsi"/>
                <w:szCs w:val="18"/>
              </w:rPr>
              <w:t>- WTO</w:t>
            </w:r>
          </w:p>
          <w:p w14:paraId="131C4AD7" w14:textId="77777777" w:rsidR="009532AB" w:rsidRDefault="009532AB" w:rsidP="002541E3">
            <w:pPr>
              <w:jc w:val="left"/>
              <w:rPr>
                <w:rFonts w:eastAsia="Batang" w:cstheme="minorHAnsi"/>
                <w:szCs w:val="18"/>
              </w:rPr>
            </w:pPr>
          </w:p>
          <w:p w14:paraId="7F6ED233" w14:textId="616DA344" w:rsidR="009532AB" w:rsidRDefault="009532AB" w:rsidP="002541E3">
            <w:pPr>
              <w:jc w:val="left"/>
              <w:rPr>
                <w:rFonts w:cs="Arial"/>
                <w:szCs w:val="18"/>
              </w:rPr>
            </w:pPr>
            <w:r w:rsidRPr="009532AB">
              <w:rPr>
                <w:rFonts w:cs="Arial"/>
                <w:b/>
                <w:bCs/>
                <w:szCs w:val="18"/>
              </w:rPr>
              <w:t>The role of standards</w:t>
            </w:r>
            <w:r>
              <w:rPr>
                <w:rFonts w:cs="Arial"/>
                <w:szCs w:val="18"/>
              </w:rPr>
              <w:t>. How are standards used to measure embodied greenhouse emissions? What are some of the key features and differences between standards, including emissions scope and boundaries.</w:t>
            </w:r>
            <w:r w:rsidR="00427355">
              <w:rPr>
                <w:rFonts w:cs="Arial"/>
                <w:szCs w:val="18"/>
              </w:rPr>
              <w:t xml:space="preserve"> </w:t>
            </w:r>
          </w:p>
          <w:p w14:paraId="3EA4A502" w14:textId="0E74F49D" w:rsidR="009532AB" w:rsidRPr="009532AB" w:rsidRDefault="009532AB" w:rsidP="002541E3">
            <w:pPr>
              <w:jc w:val="left"/>
              <w:rPr>
                <w:rFonts w:cs="Arial"/>
                <w:szCs w:val="18"/>
              </w:rPr>
            </w:pPr>
            <w:r>
              <w:rPr>
                <w:i/>
                <w:iCs/>
              </w:rPr>
              <w:t xml:space="preserve">- </w:t>
            </w:r>
            <w:r w:rsidRPr="00144909">
              <w:rPr>
                <w:i/>
                <w:iCs/>
              </w:rPr>
              <w:t>External speakers (</w:t>
            </w:r>
            <w:r>
              <w:rPr>
                <w:i/>
                <w:iCs/>
              </w:rPr>
              <w:t>IEA, ISO</w:t>
            </w:r>
            <w:r w:rsidRPr="00144909">
              <w:rPr>
                <w:i/>
                <w:iCs/>
              </w:rPr>
              <w:t>)</w:t>
            </w:r>
          </w:p>
          <w:p w14:paraId="07A680E1" w14:textId="52309A47" w:rsidR="009616AB" w:rsidRPr="00144909" w:rsidRDefault="009616AB" w:rsidP="002541E3">
            <w:pPr>
              <w:jc w:val="left"/>
              <w:rPr>
                <w:i/>
                <w:iCs/>
              </w:rPr>
            </w:pPr>
          </w:p>
        </w:tc>
      </w:tr>
      <w:tr w:rsidR="00610216" w:rsidRPr="00C03A92" w14:paraId="573FBC5A" w14:textId="77777777" w:rsidTr="002541E3">
        <w:trPr>
          <w:trHeight w:val="787"/>
        </w:trPr>
        <w:tc>
          <w:tcPr>
            <w:tcW w:w="1271" w:type="dxa"/>
            <w:vAlign w:val="center"/>
          </w:tcPr>
          <w:p w14:paraId="4CA5A5AF" w14:textId="7567AA51" w:rsidR="00610216" w:rsidRPr="002541E3" w:rsidRDefault="00610216" w:rsidP="002541E3">
            <w:pPr>
              <w:jc w:val="left"/>
              <w:rPr>
                <w:rFonts w:eastAsia="Batang" w:cstheme="minorHAnsi"/>
                <w:sz w:val="16"/>
                <w:szCs w:val="16"/>
              </w:rPr>
            </w:pPr>
            <w:r w:rsidRPr="002541E3">
              <w:rPr>
                <w:rFonts w:eastAsia="Batang" w:cstheme="minorHAnsi"/>
                <w:sz w:val="16"/>
                <w:szCs w:val="16"/>
              </w:rPr>
              <w:t>14:45-15:05</w:t>
            </w:r>
          </w:p>
        </w:tc>
        <w:tc>
          <w:tcPr>
            <w:tcW w:w="8325" w:type="dxa"/>
            <w:vAlign w:val="center"/>
          </w:tcPr>
          <w:p w14:paraId="09D1F8BA" w14:textId="16F0D662" w:rsidR="00610216" w:rsidRDefault="00610216" w:rsidP="002541E3">
            <w:pPr>
              <w:jc w:val="left"/>
              <w:rPr>
                <w:rFonts w:eastAsia="Batang" w:cstheme="minorHAnsi"/>
                <w:b/>
                <w:bCs/>
                <w:szCs w:val="18"/>
              </w:rPr>
            </w:pPr>
            <w:r>
              <w:rPr>
                <w:rFonts w:eastAsia="Batang" w:cstheme="minorHAnsi"/>
                <w:b/>
                <w:bCs/>
                <w:szCs w:val="18"/>
              </w:rPr>
              <w:t xml:space="preserve">Coffee break </w:t>
            </w:r>
          </w:p>
        </w:tc>
      </w:tr>
      <w:tr w:rsidR="002F78D9" w:rsidRPr="00C03A92" w14:paraId="7442EE7D" w14:textId="77777777" w:rsidTr="002541E3">
        <w:trPr>
          <w:trHeight w:val="50"/>
        </w:trPr>
        <w:tc>
          <w:tcPr>
            <w:tcW w:w="1271" w:type="dxa"/>
            <w:vAlign w:val="center"/>
          </w:tcPr>
          <w:p w14:paraId="5010CBFE" w14:textId="28FD1A9A" w:rsidR="002F78D9" w:rsidRPr="002541E3" w:rsidRDefault="00610216" w:rsidP="002541E3">
            <w:pPr>
              <w:jc w:val="left"/>
              <w:rPr>
                <w:rFonts w:eastAsia="Batang" w:cstheme="minorHAnsi"/>
                <w:sz w:val="16"/>
                <w:szCs w:val="16"/>
              </w:rPr>
            </w:pPr>
            <w:r w:rsidRPr="002541E3">
              <w:rPr>
                <w:rFonts w:eastAsia="Batang" w:cstheme="minorHAnsi"/>
                <w:sz w:val="16"/>
                <w:szCs w:val="16"/>
              </w:rPr>
              <w:t>15:05-16:00</w:t>
            </w:r>
          </w:p>
        </w:tc>
        <w:tc>
          <w:tcPr>
            <w:tcW w:w="8325" w:type="dxa"/>
            <w:vAlign w:val="center"/>
          </w:tcPr>
          <w:p w14:paraId="2A525F9D" w14:textId="77777777" w:rsidR="009616AB" w:rsidRDefault="009616AB" w:rsidP="002541E3">
            <w:pPr>
              <w:jc w:val="left"/>
              <w:rPr>
                <w:rFonts w:cs="Arial"/>
                <w:b/>
                <w:bCs/>
                <w:szCs w:val="18"/>
              </w:rPr>
            </w:pPr>
          </w:p>
          <w:p w14:paraId="7F5DBEB6" w14:textId="77777777" w:rsidR="00706491" w:rsidRDefault="008366D9" w:rsidP="002541E3">
            <w:pPr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Labelling and TBT: </w:t>
            </w:r>
            <w:r w:rsidRPr="008366D9">
              <w:rPr>
                <w:rFonts w:cs="Arial"/>
                <w:szCs w:val="18"/>
              </w:rPr>
              <w:t>How do issues such as labelling arise in TBT Context</w:t>
            </w:r>
            <w:r>
              <w:rPr>
                <w:rFonts w:cs="Arial"/>
                <w:szCs w:val="18"/>
              </w:rPr>
              <w:t xml:space="preserve"> (notifications, </w:t>
            </w:r>
            <w:r w:rsidR="00706491">
              <w:rPr>
                <w:rFonts w:cs="Arial"/>
                <w:szCs w:val="18"/>
              </w:rPr>
              <w:t>specific trade concerns, disputes, thematic sessions</w:t>
            </w:r>
            <w:r>
              <w:rPr>
                <w:rFonts w:cs="Arial"/>
                <w:szCs w:val="18"/>
              </w:rPr>
              <w:t>)</w:t>
            </w:r>
          </w:p>
          <w:p w14:paraId="1A451204" w14:textId="1F15D270" w:rsidR="00774BE9" w:rsidRDefault="00774BE9" w:rsidP="002541E3">
            <w:pPr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 WTO</w:t>
            </w:r>
          </w:p>
          <w:p w14:paraId="0911F747" w14:textId="77777777" w:rsidR="00774BE9" w:rsidRDefault="00774BE9" w:rsidP="002541E3">
            <w:pPr>
              <w:jc w:val="left"/>
              <w:rPr>
                <w:rFonts w:cs="Arial"/>
                <w:szCs w:val="18"/>
              </w:rPr>
            </w:pPr>
          </w:p>
          <w:p w14:paraId="447FC204" w14:textId="39474CE5" w:rsidR="009532AB" w:rsidRPr="00144909" w:rsidRDefault="009532AB" w:rsidP="002541E3">
            <w:pPr>
              <w:jc w:val="left"/>
              <w:rPr>
                <w:i/>
                <w:iCs/>
              </w:rPr>
            </w:pPr>
          </w:p>
        </w:tc>
      </w:tr>
    </w:tbl>
    <w:p w14:paraId="2FC76D6C" w14:textId="77777777" w:rsidR="002F78D9" w:rsidRDefault="002F78D9" w:rsidP="00182A75"/>
    <w:p w14:paraId="2ED0B0A9" w14:textId="1715FE4A" w:rsidR="00706491" w:rsidRDefault="00706491"/>
    <w:p w14:paraId="5DF1F823" w14:textId="77777777" w:rsidR="00706491" w:rsidRDefault="00706491"/>
    <w:p w14:paraId="5EDFAEAF" w14:textId="77777777" w:rsidR="009532AB" w:rsidRDefault="009532AB">
      <w:r>
        <w:br w:type="page"/>
      </w: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421"/>
      </w:tblGrid>
      <w:tr w:rsidR="002F78D9" w:rsidRPr="00C03A92" w14:paraId="3A1E6BE5" w14:textId="77777777" w:rsidTr="002541E3">
        <w:trPr>
          <w:trHeight w:val="447"/>
          <w:tblHeader/>
        </w:trPr>
        <w:tc>
          <w:tcPr>
            <w:tcW w:w="1271" w:type="dxa"/>
            <w:shd w:val="clear" w:color="auto" w:fill="006283"/>
          </w:tcPr>
          <w:p w14:paraId="0321C32E" w14:textId="09C82929" w:rsidR="002F78D9" w:rsidRPr="00C03A92" w:rsidRDefault="002F78D9" w:rsidP="001D7D61">
            <w:pPr>
              <w:spacing w:before="20"/>
              <w:jc w:val="center"/>
              <w:rPr>
                <w:rFonts w:eastAsia="Batang" w:cstheme="minorHAnsi"/>
                <w:b/>
                <w:color w:val="FFFFFF" w:themeColor="background1"/>
                <w:szCs w:val="18"/>
              </w:rPr>
            </w:pPr>
            <w:r>
              <w:rPr>
                <w:rFonts w:eastAsia="Batang" w:cstheme="minorHAnsi"/>
                <w:b/>
                <w:color w:val="FFFFFF" w:themeColor="background1"/>
                <w:szCs w:val="18"/>
              </w:rPr>
              <w:lastRenderedPageBreak/>
              <w:t>Time</w:t>
            </w:r>
          </w:p>
        </w:tc>
        <w:tc>
          <w:tcPr>
            <w:tcW w:w="8421" w:type="dxa"/>
            <w:shd w:val="clear" w:color="auto" w:fill="006283"/>
          </w:tcPr>
          <w:p w14:paraId="4149751B" w14:textId="5A6A7ECB" w:rsidR="002F78D9" w:rsidRPr="00C03A92" w:rsidRDefault="00EB2E14" w:rsidP="001D7D61">
            <w:pPr>
              <w:spacing w:before="20"/>
              <w:jc w:val="center"/>
              <w:rPr>
                <w:rFonts w:eastAsia="Batang" w:cstheme="minorHAnsi"/>
                <w:b/>
                <w:color w:val="FFFFFF" w:themeColor="background1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Cs w:val="18"/>
              </w:rPr>
              <w:t xml:space="preserve">Day 3, </w:t>
            </w:r>
            <w:proofErr w:type="spellStart"/>
            <w:r>
              <w:rPr>
                <w:rFonts w:cstheme="minorHAnsi"/>
                <w:b/>
                <w:color w:val="FFFFFF" w:themeColor="background1"/>
                <w:szCs w:val="18"/>
              </w:rPr>
              <w:t>Thursdsay</w:t>
            </w:r>
            <w:proofErr w:type="spellEnd"/>
            <w:r>
              <w:rPr>
                <w:rFonts w:cstheme="minorHAnsi"/>
                <w:b/>
                <w:color w:val="FFFFFF" w:themeColor="background1"/>
                <w:szCs w:val="18"/>
              </w:rPr>
              <w:t xml:space="preserve">, </w:t>
            </w:r>
            <w:r w:rsidR="0098753D">
              <w:rPr>
                <w:rFonts w:cstheme="minorHAnsi"/>
                <w:b/>
                <w:color w:val="FFFFFF" w:themeColor="background1"/>
                <w:szCs w:val="18"/>
              </w:rPr>
              <w:t>16 November</w:t>
            </w:r>
          </w:p>
        </w:tc>
      </w:tr>
      <w:tr w:rsidR="002F78D9" w:rsidRPr="00C03A92" w14:paraId="4117D778" w14:textId="77777777" w:rsidTr="002541E3">
        <w:trPr>
          <w:trHeight w:val="340"/>
        </w:trPr>
        <w:tc>
          <w:tcPr>
            <w:tcW w:w="9692" w:type="dxa"/>
            <w:gridSpan w:val="2"/>
            <w:shd w:val="clear" w:color="auto" w:fill="C6D9F1" w:themeFill="text2" w:themeFillTint="33"/>
            <w:vAlign w:val="center"/>
          </w:tcPr>
          <w:p w14:paraId="4C718659" w14:textId="23868762" w:rsidR="00CB39A6" w:rsidRPr="002F78D9" w:rsidRDefault="00E250A2" w:rsidP="00CB39A6">
            <w:pPr>
              <w:spacing w:before="20"/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 xml:space="preserve">Thematic focus: </w:t>
            </w:r>
            <w:r w:rsidR="00350449">
              <w:rPr>
                <w:rFonts w:cstheme="minorHAnsi"/>
                <w:b/>
                <w:szCs w:val="18"/>
              </w:rPr>
              <w:t xml:space="preserve">environment and </w:t>
            </w:r>
            <w:r w:rsidR="00CB39A6" w:rsidRPr="002F78D9">
              <w:rPr>
                <w:rFonts w:cstheme="minorHAnsi"/>
                <w:b/>
                <w:szCs w:val="18"/>
              </w:rPr>
              <w:t xml:space="preserve">standards in the steel </w:t>
            </w:r>
            <w:r w:rsidR="00350449">
              <w:rPr>
                <w:rFonts w:cstheme="minorHAnsi"/>
                <w:b/>
                <w:szCs w:val="18"/>
              </w:rPr>
              <w:t>sector</w:t>
            </w:r>
          </w:p>
          <w:p w14:paraId="68091FDA" w14:textId="0FCD19A1" w:rsidR="002F78D9" w:rsidRPr="00C03A92" w:rsidRDefault="002F78D9" w:rsidP="00CB39A6">
            <w:pPr>
              <w:jc w:val="center"/>
              <w:rPr>
                <w:rFonts w:cstheme="minorHAnsi"/>
                <w:bCs/>
                <w:szCs w:val="18"/>
              </w:rPr>
            </w:pPr>
          </w:p>
        </w:tc>
      </w:tr>
      <w:tr w:rsidR="0001284A" w:rsidRPr="00C03A92" w14:paraId="6B31AD26" w14:textId="77777777" w:rsidTr="002541E3">
        <w:trPr>
          <w:trHeight w:val="702"/>
        </w:trPr>
        <w:tc>
          <w:tcPr>
            <w:tcW w:w="1271" w:type="dxa"/>
            <w:vAlign w:val="center"/>
          </w:tcPr>
          <w:p w14:paraId="1D17A614" w14:textId="2C735C47" w:rsidR="0001284A" w:rsidRPr="002541E3" w:rsidRDefault="00610216" w:rsidP="002541E3">
            <w:pPr>
              <w:jc w:val="left"/>
              <w:rPr>
                <w:rFonts w:eastAsia="Batang" w:cstheme="minorHAnsi"/>
                <w:sz w:val="16"/>
                <w:szCs w:val="16"/>
              </w:rPr>
            </w:pPr>
            <w:r w:rsidRPr="002541E3">
              <w:rPr>
                <w:rFonts w:eastAsia="Batang" w:cstheme="minorHAnsi"/>
                <w:sz w:val="16"/>
                <w:szCs w:val="16"/>
              </w:rPr>
              <w:t>9:00-10:20</w:t>
            </w:r>
          </w:p>
        </w:tc>
        <w:tc>
          <w:tcPr>
            <w:tcW w:w="8421" w:type="dxa"/>
            <w:vAlign w:val="center"/>
          </w:tcPr>
          <w:p w14:paraId="20AC3E55" w14:textId="77777777" w:rsidR="009616AB" w:rsidRDefault="009616AB" w:rsidP="002541E3">
            <w:pPr>
              <w:jc w:val="left"/>
              <w:rPr>
                <w:b/>
                <w:bCs/>
              </w:rPr>
            </w:pPr>
          </w:p>
          <w:p w14:paraId="2182C2B1" w14:textId="061001F3" w:rsidR="00E250A2" w:rsidRPr="00E250A2" w:rsidRDefault="004D13B7" w:rsidP="002541E3">
            <w:pPr>
              <w:jc w:val="left"/>
              <w:rPr>
                <w:rFonts w:eastAsia="Batang" w:cstheme="minorHAnsi"/>
                <w:szCs w:val="18"/>
              </w:rPr>
            </w:pPr>
            <w:r>
              <w:rPr>
                <w:rFonts w:eastAsia="Batang" w:cstheme="minorHAnsi"/>
                <w:b/>
                <w:bCs/>
                <w:szCs w:val="18"/>
              </w:rPr>
              <w:t>The importance of international cooperation</w:t>
            </w:r>
            <w:r w:rsidR="008366D9">
              <w:rPr>
                <w:rFonts w:eastAsia="Batang" w:cstheme="minorHAnsi"/>
                <w:b/>
                <w:bCs/>
                <w:szCs w:val="18"/>
              </w:rPr>
              <w:t xml:space="preserve">: </w:t>
            </w:r>
            <w:r w:rsidR="008366D9">
              <w:rPr>
                <w:rFonts w:eastAsia="Batang" w:cstheme="minorHAnsi"/>
                <w:szCs w:val="18"/>
              </w:rPr>
              <w:t>Overview of</w:t>
            </w:r>
            <w:r>
              <w:rPr>
                <w:rFonts w:eastAsia="Batang" w:cstheme="minorHAnsi"/>
                <w:szCs w:val="18"/>
              </w:rPr>
              <w:t xml:space="preserve"> standards and regulations in the </w:t>
            </w:r>
            <w:r w:rsidR="008366D9">
              <w:rPr>
                <w:rFonts w:eastAsia="Batang" w:cstheme="minorHAnsi"/>
                <w:szCs w:val="18"/>
              </w:rPr>
              <w:t xml:space="preserve">steel </w:t>
            </w:r>
            <w:r>
              <w:rPr>
                <w:rFonts w:eastAsia="Batang" w:cstheme="minorHAnsi"/>
                <w:szCs w:val="18"/>
              </w:rPr>
              <w:t xml:space="preserve">sector – the </w:t>
            </w:r>
            <w:r w:rsidR="008366D9">
              <w:rPr>
                <w:rFonts w:eastAsia="Batang" w:cstheme="minorHAnsi"/>
                <w:szCs w:val="18"/>
              </w:rPr>
              <w:t>role of policies, regulations, and standards. A discussion of the risk of regulatory fragmentation and challenges for trade and climate.</w:t>
            </w:r>
          </w:p>
          <w:p w14:paraId="3589EC1E" w14:textId="7416CBCA" w:rsidR="008366D9" w:rsidRDefault="00E250A2" w:rsidP="002541E3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="008366D9" w:rsidRPr="00144909">
              <w:rPr>
                <w:i/>
                <w:iCs/>
              </w:rPr>
              <w:t>External speakers (World Steel Association, IEA, OECD</w:t>
            </w:r>
            <w:r w:rsidR="008366D9">
              <w:rPr>
                <w:i/>
                <w:iCs/>
              </w:rPr>
              <w:t>, UNIDO</w:t>
            </w:r>
            <w:r w:rsidR="008366D9" w:rsidRPr="00144909">
              <w:rPr>
                <w:i/>
                <w:iCs/>
              </w:rPr>
              <w:t>)</w:t>
            </w:r>
          </w:p>
          <w:p w14:paraId="7CFBB646" w14:textId="77777777" w:rsidR="008366D9" w:rsidRDefault="008366D9" w:rsidP="002541E3">
            <w:pPr>
              <w:jc w:val="left"/>
              <w:rPr>
                <w:b/>
                <w:bCs/>
              </w:rPr>
            </w:pPr>
          </w:p>
          <w:p w14:paraId="2F60F16E" w14:textId="77777777" w:rsidR="008366D9" w:rsidRDefault="008366D9" w:rsidP="002541E3">
            <w:pPr>
              <w:jc w:val="left"/>
              <w:rPr>
                <w:b/>
                <w:bCs/>
              </w:rPr>
            </w:pPr>
          </w:p>
          <w:p w14:paraId="2DCB74C2" w14:textId="059E2726" w:rsidR="0001284A" w:rsidRPr="007F681F" w:rsidRDefault="00E250A2" w:rsidP="002541E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Why do d</w:t>
            </w:r>
            <w:r w:rsidR="0001284A">
              <w:rPr>
                <w:b/>
                <w:bCs/>
              </w:rPr>
              <w:t>efinition</w:t>
            </w:r>
            <w:r w:rsidR="00144909">
              <w:rPr>
                <w:b/>
                <w:bCs/>
              </w:rPr>
              <w:t>s</w:t>
            </w:r>
            <w:r w:rsidR="0001284A">
              <w:rPr>
                <w:b/>
                <w:bCs/>
              </w:rPr>
              <w:t xml:space="preserve"> and</w:t>
            </w:r>
            <w:r w:rsidR="00144909">
              <w:rPr>
                <w:b/>
                <w:bCs/>
              </w:rPr>
              <w:t xml:space="preserve"> performance thresholds</w:t>
            </w:r>
            <w:r>
              <w:rPr>
                <w:b/>
                <w:bCs/>
              </w:rPr>
              <w:t xml:space="preserve"> matter?</w:t>
            </w:r>
          </w:p>
          <w:p w14:paraId="50A95D5A" w14:textId="07B6CBCE" w:rsidR="00E250A2" w:rsidRDefault="00144909" w:rsidP="002541E3">
            <w:pPr>
              <w:jc w:val="left"/>
            </w:pPr>
            <w:r>
              <w:t xml:space="preserve">Panel discussion on different approaches to defining green steel and setting related performance </w:t>
            </w:r>
            <w:r w:rsidR="00E250A2">
              <w:t>standards</w:t>
            </w:r>
            <w:r>
              <w:t>, including in the context of regulation.</w:t>
            </w:r>
          </w:p>
          <w:p w14:paraId="4F595771" w14:textId="40BEF73B" w:rsidR="00144909" w:rsidRDefault="00E250A2" w:rsidP="002541E3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="00144909" w:rsidRPr="00144909">
              <w:rPr>
                <w:i/>
                <w:iCs/>
              </w:rPr>
              <w:t>External speakers (</w:t>
            </w:r>
            <w:r w:rsidR="00144909">
              <w:rPr>
                <w:i/>
                <w:iCs/>
              </w:rPr>
              <w:t xml:space="preserve">UNIDO IDDI, </w:t>
            </w:r>
            <w:r w:rsidR="00144909" w:rsidRPr="00144909">
              <w:rPr>
                <w:i/>
                <w:iCs/>
              </w:rPr>
              <w:t>Responsible</w:t>
            </w:r>
            <w:r w:rsidR="00E4295A">
              <w:rPr>
                <w:i/>
                <w:iCs/>
              </w:rPr>
              <w:t>S</w:t>
            </w:r>
            <w:r w:rsidR="00144909" w:rsidRPr="00144909">
              <w:rPr>
                <w:i/>
                <w:iCs/>
              </w:rPr>
              <w:t>teel)</w:t>
            </w:r>
          </w:p>
          <w:p w14:paraId="2F4AFF52" w14:textId="0AE0062B" w:rsidR="009616AB" w:rsidRPr="00144909" w:rsidRDefault="009616AB" w:rsidP="002541E3">
            <w:pPr>
              <w:jc w:val="left"/>
              <w:rPr>
                <w:b/>
                <w:bCs/>
                <w:i/>
                <w:iCs/>
              </w:rPr>
            </w:pPr>
          </w:p>
        </w:tc>
      </w:tr>
      <w:tr w:rsidR="00610216" w:rsidRPr="00C03A92" w14:paraId="7A819D74" w14:textId="77777777" w:rsidTr="002541E3">
        <w:trPr>
          <w:trHeight w:val="702"/>
        </w:trPr>
        <w:tc>
          <w:tcPr>
            <w:tcW w:w="1271" w:type="dxa"/>
            <w:vAlign w:val="center"/>
          </w:tcPr>
          <w:p w14:paraId="068DFE61" w14:textId="023B15FC" w:rsidR="00610216" w:rsidRPr="002541E3" w:rsidRDefault="00610216" w:rsidP="002541E3">
            <w:pPr>
              <w:jc w:val="left"/>
              <w:rPr>
                <w:rFonts w:eastAsia="Batang" w:cstheme="minorHAnsi"/>
                <w:sz w:val="16"/>
                <w:szCs w:val="16"/>
              </w:rPr>
            </w:pPr>
            <w:r w:rsidRPr="002541E3">
              <w:rPr>
                <w:rFonts w:eastAsia="Batang" w:cstheme="minorHAnsi"/>
                <w:sz w:val="16"/>
                <w:szCs w:val="16"/>
              </w:rPr>
              <w:t>10:20-10:40</w:t>
            </w:r>
          </w:p>
        </w:tc>
        <w:tc>
          <w:tcPr>
            <w:tcW w:w="8421" w:type="dxa"/>
            <w:vAlign w:val="center"/>
          </w:tcPr>
          <w:p w14:paraId="10647FA5" w14:textId="09C8C20B" w:rsidR="00610216" w:rsidRDefault="00610216" w:rsidP="002541E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Coffee break </w:t>
            </w:r>
          </w:p>
        </w:tc>
      </w:tr>
      <w:tr w:rsidR="0001284A" w:rsidRPr="00C03A92" w14:paraId="09478B10" w14:textId="77777777" w:rsidTr="002541E3">
        <w:trPr>
          <w:trHeight w:val="1295"/>
        </w:trPr>
        <w:tc>
          <w:tcPr>
            <w:tcW w:w="1271" w:type="dxa"/>
            <w:vAlign w:val="center"/>
          </w:tcPr>
          <w:p w14:paraId="4AB1F84D" w14:textId="1092E117" w:rsidR="0001284A" w:rsidRPr="002541E3" w:rsidRDefault="00350449" w:rsidP="002541E3">
            <w:pPr>
              <w:jc w:val="left"/>
              <w:rPr>
                <w:rFonts w:eastAsia="Batang" w:cstheme="minorHAnsi"/>
                <w:sz w:val="16"/>
                <w:szCs w:val="16"/>
              </w:rPr>
            </w:pPr>
            <w:r w:rsidRPr="002541E3">
              <w:rPr>
                <w:rFonts w:eastAsia="Batang" w:cstheme="minorHAnsi"/>
                <w:sz w:val="16"/>
                <w:szCs w:val="16"/>
              </w:rPr>
              <w:t>10:40-12:00</w:t>
            </w:r>
          </w:p>
        </w:tc>
        <w:tc>
          <w:tcPr>
            <w:tcW w:w="8421" w:type="dxa"/>
            <w:vAlign w:val="center"/>
          </w:tcPr>
          <w:p w14:paraId="0DEB3E2A" w14:textId="77777777" w:rsidR="009616AB" w:rsidRDefault="009616AB" w:rsidP="002541E3">
            <w:pPr>
              <w:jc w:val="left"/>
              <w:rPr>
                <w:b/>
                <w:bCs/>
              </w:rPr>
            </w:pPr>
          </w:p>
          <w:p w14:paraId="679F3156" w14:textId="2F655ACB" w:rsidR="0001284A" w:rsidRPr="002073F6" w:rsidRDefault="004D13B7" w:rsidP="002541E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Summary discussion and closure</w:t>
            </w:r>
          </w:p>
          <w:p w14:paraId="14CEB64C" w14:textId="150ACAA2" w:rsidR="002073F6" w:rsidRDefault="002073F6" w:rsidP="002541E3">
            <w:pPr>
              <w:jc w:val="left"/>
            </w:pPr>
            <w:r>
              <w:t>- Summary discussion and feed-back from participants</w:t>
            </w:r>
          </w:p>
          <w:p w14:paraId="26A7862F" w14:textId="4D8CD6AB" w:rsidR="00350449" w:rsidRDefault="00350449" w:rsidP="002541E3">
            <w:pPr>
              <w:jc w:val="left"/>
            </w:pPr>
            <w:r>
              <w:t xml:space="preserve">- WTO, participants </w:t>
            </w:r>
          </w:p>
          <w:p w14:paraId="4EE9042B" w14:textId="77777777" w:rsidR="00382BDE" w:rsidRDefault="00382BDE" w:rsidP="002541E3">
            <w:pPr>
              <w:jc w:val="left"/>
            </w:pPr>
          </w:p>
          <w:p w14:paraId="22BEB58C" w14:textId="14BC8EDA" w:rsidR="009616AB" w:rsidRPr="00C03A92" w:rsidRDefault="009616AB" w:rsidP="002541E3">
            <w:pPr>
              <w:jc w:val="left"/>
              <w:rPr>
                <w:szCs w:val="18"/>
                <w:lang w:eastAsia="en-GB"/>
              </w:rPr>
            </w:pPr>
          </w:p>
        </w:tc>
      </w:tr>
      <w:tr w:rsidR="00610216" w:rsidRPr="00C03A92" w14:paraId="2B2C6FD4" w14:textId="77777777" w:rsidTr="002541E3">
        <w:trPr>
          <w:trHeight w:val="748"/>
        </w:trPr>
        <w:tc>
          <w:tcPr>
            <w:tcW w:w="1271" w:type="dxa"/>
            <w:vAlign w:val="center"/>
          </w:tcPr>
          <w:p w14:paraId="5019F40A" w14:textId="483D8B43" w:rsidR="00610216" w:rsidRPr="002541E3" w:rsidRDefault="00610216" w:rsidP="002541E3">
            <w:pPr>
              <w:jc w:val="left"/>
              <w:rPr>
                <w:rFonts w:eastAsia="Batang" w:cstheme="minorHAnsi"/>
                <w:sz w:val="16"/>
                <w:szCs w:val="16"/>
              </w:rPr>
            </w:pPr>
            <w:r w:rsidRPr="002541E3">
              <w:rPr>
                <w:rFonts w:eastAsia="Batang" w:cstheme="minorHAnsi"/>
                <w:sz w:val="16"/>
                <w:szCs w:val="16"/>
              </w:rPr>
              <w:t>12:00-13:00</w:t>
            </w:r>
          </w:p>
        </w:tc>
        <w:tc>
          <w:tcPr>
            <w:tcW w:w="8421" w:type="dxa"/>
            <w:vAlign w:val="center"/>
          </w:tcPr>
          <w:p w14:paraId="0EB404E5" w14:textId="3E7C2EB8" w:rsidR="00610216" w:rsidRDefault="00610216" w:rsidP="002541E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Lunch </w:t>
            </w:r>
          </w:p>
        </w:tc>
      </w:tr>
    </w:tbl>
    <w:p w14:paraId="0539D243" w14:textId="16440A37" w:rsidR="002F78D9" w:rsidRDefault="002F78D9" w:rsidP="00182A75"/>
    <w:p w14:paraId="7202BBC4" w14:textId="77777777" w:rsidR="002541E3" w:rsidRDefault="002541E3" w:rsidP="00182A75"/>
    <w:sectPr w:rsidR="002541E3" w:rsidSect="002A15FB">
      <w:headerReference w:type="default" r:id="rId7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74561" w14:textId="77777777" w:rsidR="009A2EBE" w:rsidRDefault="009A2EBE" w:rsidP="00ED54E0">
      <w:r>
        <w:separator/>
      </w:r>
    </w:p>
  </w:endnote>
  <w:endnote w:type="continuationSeparator" w:id="0">
    <w:p w14:paraId="780895B2" w14:textId="77777777" w:rsidR="009A2EBE" w:rsidRDefault="009A2EBE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A32F" w14:textId="77777777" w:rsidR="009A2EBE" w:rsidRDefault="009A2EBE" w:rsidP="00ED54E0">
      <w:r>
        <w:separator/>
      </w:r>
    </w:p>
  </w:footnote>
  <w:footnote w:type="continuationSeparator" w:id="0">
    <w:p w14:paraId="2AC9FE69" w14:textId="77777777" w:rsidR="009A2EBE" w:rsidRDefault="009A2EBE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D4314" w14:textId="77777777" w:rsidR="00A6787A" w:rsidRDefault="00A6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92D98"/>
    <w:multiLevelType w:val="multilevel"/>
    <w:tmpl w:val="CE3A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1304165"/>
    <w:multiLevelType w:val="hybridMultilevel"/>
    <w:tmpl w:val="FDC06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51493"/>
    <w:multiLevelType w:val="multilevel"/>
    <w:tmpl w:val="0180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9705166"/>
    <w:multiLevelType w:val="multilevel"/>
    <w:tmpl w:val="09C6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B9C04AE"/>
    <w:multiLevelType w:val="hybridMultilevel"/>
    <w:tmpl w:val="E31AD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CC6616"/>
    <w:multiLevelType w:val="multilevel"/>
    <w:tmpl w:val="3E78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1594109"/>
    <w:multiLevelType w:val="hybridMultilevel"/>
    <w:tmpl w:val="72105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D7103"/>
    <w:multiLevelType w:val="hybridMultilevel"/>
    <w:tmpl w:val="5226D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731AC"/>
    <w:multiLevelType w:val="hybridMultilevel"/>
    <w:tmpl w:val="AF201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2201A"/>
    <w:multiLevelType w:val="multilevel"/>
    <w:tmpl w:val="5DBC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0413B3"/>
    <w:multiLevelType w:val="multilevel"/>
    <w:tmpl w:val="E68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 w15:restartNumberingAfterBreak="0">
    <w:nsid w:val="5520762B"/>
    <w:multiLevelType w:val="hybridMultilevel"/>
    <w:tmpl w:val="22824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54AB1"/>
    <w:multiLevelType w:val="multilevel"/>
    <w:tmpl w:val="CC52177C"/>
    <w:numStyleLink w:val="LegalHeadings"/>
  </w:abstractNum>
  <w:abstractNum w:abstractNumId="26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27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6C19BC"/>
    <w:multiLevelType w:val="multilevel"/>
    <w:tmpl w:val="F984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460A4E"/>
    <w:multiLevelType w:val="multilevel"/>
    <w:tmpl w:val="FFC6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26"/>
  </w:num>
  <w:num w:numId="7" w16cid:durableId="1295865260">
    <w:abstractNumId w:val="25"/>
  </w:num>
  <w:num w:numId="8" w16cid:durableId="805586851">
    <w:abstractNumId w:val="23"/>
  </w:num>
  <w:num w:numId="9" w16cid:durableId="13895759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27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2"/>
  </w:num>
  <w:num w:numId="17" w16cid:durableId="984817311">
    <w:abstractNumId w:val="23"/>
  </w:num>
  <w:num w:numId="18" w16cid:durableId="10776746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3683155">
    <w:abstractNumId w:val="10"/>
  </w:num>
  <w:num w:numId="20" w16cid:durableId="269166360">
    <w:abstractNumId w:val="28"/>
  </w:num>
  <w:num w:numId="21" w16cid:durableId="1793208786">
    <w:abstractNumId w:val="21"/>
  </w:num>
  <w:num w:numId="22" w16cid:durableId="891768701">
    <w:abstractNumId w:val="19"/>
  </w:num>
  <w:num w:numId="23" w16cid:durableId="2118140006">
    <w:abstractNumId w:val="24"/>
  </w:num>
  <w:num w:numId="24" w16cid:durableId="1438869260">
    <w:abstractNumId w:val="15"/>
  </w:num>
  <w:num w:numId="25" w16cid:durableId="2146047134">
    <w:abstractNumId w:val="29"/>
  </w:num>
  <w:num w:numId="26" w16cid:durableId="870075265">
    <w:abstractNumId w:val="16"/>
  </w:num>
  <w:num w:numId="27" w16cid:durableId="1795832176">
    <w:abstractNumId w:val="22"/>
  </w:num>
  <w:num w:numId="28" w16cid:durableId="881357911">
    <w:abstractNumId w:val="14"/>
  </w:num>
  <w:num w:numId="29" w16cid:durableId="2030794999">
    <w:abstractNumId w:val="13"/>
  </w:num>
  <w:num w:numId="30" w16cid:durableId="82186134">
    <w:abstractNumId w:val="17"/>
  </w:num>
  <w:num w:numId="31" w16cid:durableId="1701276748">
    <w:abstractNumId w:val="11"/>
  </w:num>
  <w:num w:numId="32" w16cid:durableId="20215444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40"/>
    <w:rsid w:val="000106E0"/>
    <w:rsid w:val="000111BB"/>
    <w:rsid w:val="0001284A"/>
    <w:rsid w:val="00022C0F"/>
    <w:rsid w:val="000272F6"/>
    <w:rsid w:val="00031D3E"/>
    <w:rsid w:val="00032D05"/>
    <w:rsid w:val="00037AC4"/>
    <w:rsid w:val="000423BF"/>
    <w:rsid w:val="0009723B"/>
    <w:rsid w:val="000A3CB4"/>
    <w:rsid w:val="000A4945"/>
    <w:rsid w:val="000B31E1"/>
    <w:rsid w:val="000D3EBD"/>
    <w:rsid w:val="0011356B"/>
    <w:rsid w:val="0013337F"/>
    <w:rsid w:val="00144909"/>
    <w:rsid w:val="00182A75"/>
    <w:rsid w:val="00182B84"/>
    <w:rsid w:val="001946F2"/>
    <w:rsid w:val="001D0F5C"/>
    <w:rsid w:val="001E291F"/>
    <w:rsid w:val="001F0A24"/>
    <w:rsid w:val="002073F6"/>
    <w:rsid w:val="00222217"/>
    <w:rsid w:val="00233408"/>
    <w:rsid w:val="00236461"/>
    <w:rsid w:val="00237417"/>
    <w:rsid w:val="002527F3"/>
    <w:rsid w:val="002541E3"/>
    <w:rsid w:val="0027067B"/>
    <w:rsid w:val="00284C35"/>
    <w:rsid w:val="002A15FB"/>
    <w:rsid w:val="002A3392"/>
    <w:rsid w:val="002A6940"/>
    <w:rsid w:val="002E249B"/>
    <w:rsid w:val="002F78D9"/>
    <w:rsid w:val="00304385"/>
    <w:rsid w:val="00311BE2"/>
    <w:rsid w:val="00320249"/>
    <w:rsid w:val="00322643"/>
    <w:rsid w:val="00331F4A"/>
    <w:rsid w:val="00333A03"/>
    <w:rsid w:val="00350449"/>
    <w:rsid w:val="003572B4"/>
    <w:rsid w:val="003616BF"/>
    <w:rsid w:val="00371F2B"/>
    <w:rsid w:val="00382BDE"/>
    <w:rsid w:val="00383F10"/>
    <w:rsid w:val="003C0A89"/>
    <w:rsid w:val="00421226"/>
    <w:rsid w:val="00427355"/>
    <w:rsid w:val="004551EC"/>
    <w:rsid w:val="00465A62"/>
    <w:rsid w:val="00467032"/>
    <w:rsid w:val="0046754A"/>
    <w:rsid w:val="004A2946"/>
    <w:rsid w:val="004A31FF"/>
    <w:rsid w:val="004B7F91"/>
    <w:rsid w:val="004C3F94"/>
    <w:rsid w:val="004D13B7"/>
    <w:rsid w:val="004F203A"/>
    <w:rsid w:val="00512FF5"/>
    <w:rsid w:val="005336B8"/>
    <w:rsid w:val="005554C9"/>
    <w:rsid w:val="005917B1"/>
    <w:rsid w:val="005B04B9"/>
    <w:rsid w:val="005B4EE1"/>
    <w:rsid w:val="005B68C7"/>
    <w:rsid w:val="005B7054"/>
    <w:rsid w:val="005D0152"/>
    <w:rsid w:val="005D388D"/>
    <w:rsid w:val="005D5981"/>
    <w:rsid w:val="005E5481"/>
    <w:rsid w:val="005F30CB"/>
    <w:rsid w:val="00610216"/>
    <w:rsid w:val="00612644"/>
    <w:rsid w:val="006347F8"/>
    <w:rsid w:val="00654A3D"/>
    <w:rsid w:val="00674CCD"/>
    <w:rsid w:val="006877D4"/>
    <w:rsid w:val="006A18DC"/>
    <w:rsid w:val="006D3D22"/>
    <w:rsid w:val="006D6742"/>
    <w:rsid w:val="006E3654"/>
    <w:rsid w:val="006F5826"/>
    <w:rsid w:val="00700181"/>
    <w:rsid w:val="00705EF7"/>
    <w:rsid w:val="00706491"/>
    <w:rsid w:val="007141CF"/>
    <w:rsid w:val="0072078A"/>
    <w:rsid w:val="00730A76"/>
    <w:rsid w:val="00745146"/>
    <w:rsid w:val="0074635B"/>
    <w:rsid w:val="00747754"/>
    <w:rsid w:val="00757369"/>
    <w:rsid w:val="007577E3"/>
    <w:rsid w:val="00760DB3"/>
    <w:rsid w:val="00767204"/>
    <w:rsid w:val="00774BE9"/>
    <w:rsid w:val="0079332A"/>
    <w:rsid w:val="007A4792"/>
    <w:rsid w:val="007C3936"/>
    <w:rsid w:val="007C79F0"/>
    <w:rsid w:val="007E6507"/>
    <w:rsid w:val="007F2B8E"/>
    <w:rsid w:val="007F2DB0"/>
    <w:rsid w:val="007F681F"/>
    <w:rsid w:val="00801CBB"/>
    <w:rsid w:val="00807247"/>
    <w:rsid w:val="008366D9"/>
    <w:rsid w:val="00840C2B"/>
    <w:rsid w:val="008470C8"/>
    <w:rsid w:val="00850889"/>
    <w:rsid w:val="00871012"/>
    <w:rsid w:val="008739FD"/>
    <w:rsid w:val="0089539B"/>
    <w:rsid w:val="008A7BB6"/>
    <w:rsid w:val="008C42C8"/>
    <w:rsid w:val="008E372C"/>
    <w:rsid w:val="00903B5A"/>
    <w:rsid w:val="00911043"/>
    <w:rsid w:val="00920FD4"/>
    <w:rsid w:val="009221D5"/>
    <w:rsid w:val="00936BC7"/>
    <w:rsid w:val="00947C09"/>
    <w:rsid w:val="009532AB"/>
    <w:rsid w:val="009616AB"/>
    <w:rsid w:val="00977539"/>
    <w:rsid w:val="0098753D"/>
    <w:rsid w:val="009A2A11"/>
    <w:rsid w:val="009A2EBE"/>
    <w:rsid w:val="009A62A7"/>
    <w:rsid w:val="009A6F54"/>
    <w:rsid w:val="009A7E67"/>
    <w:rsid w:val="009B0823"/>
    <w:rsid w:val="00A00123"/>
    <w:rsid w:val="00A34142"/>
    <w:rsid w:val="00A53DCE"/>
    <w:rsid w:val="00A6057A"/>
    <w:rsid w:val="00A63124"/>
    <w:rsid w:val="00A6787A"/>
    <w:rsid w:val="00A74017"/>
    <w:rsid w:val="00A97A1E"/>
    <w:rsid w:val="00AA332C"/>
    <w:rsid w:val="00AA6C3F"/>
    <w:rsid w:val="00AC24C7"/>
    <w:rsid w:val="00AC27F8"/>
    <w:rsid w:val="00AC68BB"/>
    <w:rsid w:val="00AD167B"/>
    <w:rsid w:val="00AD4C72"/>
    <w:rsid w:val="00AE20ED"/>
    <w:rsid w:val="00AE2AEE"/>
    <w:rsid w:val="00AE4372"/>
    <w:rsid w:val="00B1394B"/>
    <w:rsid w:val="00B1512A"/>
    <w:rsid w:val="00B230EC"/>
    <w:rsid w:val="00B319C4"/>
    <w:rsid w:val="00B415B8"/>
    <w:rsid w:val="00B44A0E"/>
    <w:rsid w:val="00B50DC4"/>
    <w:rsid w:val="00B552D5"/>
    <w:rsid w:val="00B56EDC"/>
    <w:rsid w:val="00B67C16"/>
    <w:rsid w:val="00B779CE"/>
    <w:rsid w:val="00BB1F84"/>
    <w:rsid w:val="00BB50B5"/>
    <w:rsid w:val="00BE5468"/>
    <w:rsid w:val="00C03A92"/>
    <w:rsid w:val="00C11EAC"/>
    <w:rsid w:val="00C305D7"/>
    <w:rsid w:val="00C30F2A"/>
    <w:rsid w:val="00C31E92"/>
    <w:rsid w:val="00C43456"/>
    <w:rsid w:val="00C528E6"/>
    <w:rsid w:val="00C557E0"/>
    <w:rsid w:val="00C65C0C"/>
    <w:rsid w:val="00C808FC"/>
    <w:rsid w:val="00C87840"/>
    <w:rsid w:val="00CA262D"/>
    <w:rsid w:val="00CB39A6"/>
    <w:rsid w:val="00CC5DCA"/>
    <w:rsid w:val="00CD1CAD"/>
    <w:rsid w:val="00CD7D97"/>
    <w:rsid w:val="00CE3EE6"/>
    <w:rsid w:val="00CE4BA1"/>
    <w:rsid w:val="00CE4EAC"/>
    <w:rsid w:val="00D000C7"/>
    <w:rsid w:val="00D32DF7"/>
    <w:rsid w:val="00D452D9"/>
    <w:rsid w:val="00D52A9D"/>
    <w:rsid w:val="00D55AAD"/>
    <w:rsid w:val="00D747AE"/>
    <w:rsid w:val="00D9226C"/>
    <w:rsid w:val="00DA20BD"/>
    <w:rsid w:val="00DE50DB"/>
    <w:rsid w:val="00DF6AE1"/>
    <w:rsid w:val="00E14801"/>
    <w:rsid w:val="00E250A2"/>
    <w:rsid w:val="00E413B3"/>
    <w:rsid w:val="00E4295A"/>
    <w:rsid w:val="00E46FD5"/>
    <w:rsid w:val="00E544BB"/>
    <w:rsid w:val="00E56545"/>
    <w:rsid w:val="00E85004"/>
    <w:rsid w:val="00EA0759"/>
    <w:rsid w:val="00EA5D4F"/>
    <w:rsid w:val="00EB2E14"/>
    <w:rsid w:val="00EB6C56"/>
    <w:rsid w:val="00EB6F21"/>
    <w:rsid w:val="00ED54E0"/>
    <w:rsid w:val="00F01C13"/>
    <w:rsid w:val="00F32397"/>
    <w:rsid w:val="00F40003"/>
    <w:rsid w:val="00F40595"/>
    <w:rsid w:val="00F52779"/>
    <w:rsid w:val="00F54871"/>
    <w:rsid w:val="00F55313"/>
    <w:rsid w:val="00F605B7"/>
    <w:rsid w:val="00FA5EBC"/>
    <w:rsid w:val="00FD224A"/>
    <w:rsid w:val="00FD6CF3"/>
    <w:rsid w:val="00FD79BF"/>
    <w:rsid w:val="00FE64DE"/>
    <w:rsid w:val="00FF0ACD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15F99"/>
  <w15:chartTrackingRefBased/>
  <w15:docId w15:val="{D7D9CBA2-67E7-4E8F-AEF7-D933E7BC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7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22"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22217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C03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Koltunova, Anastasiia</dc:creator>
  <cp:keywords/>
  <dc:description/>
  <cp:lastModifiedBy>Celestin-Champlong, Isabelle</cp:lastModifiedBy>
  <cp:revision>2</cp:revision>
  <cp:lastPrinted>2023-05-03T14:55:00Z</cp:lastPrinted>
  <dcterms:created xsi:type="dcterms:W3CDTF">2023-11-02T08:11:00Z</dcterms:created>
  <dcterms:modified xsi:type="dcterms:W3CDTF">2023-11-02T08:11:00Z</dcterms:modified>
</cp:coreProperties>
</file>