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4D9E" w14:textId="77777777" w:rsidR="00850889" w:rsidRDefault="006603A4" w:rsidP="0045096C">
      <w:pPr>
        <w:pStyle w:val="Title"/>
        <w:spacing w:before="0" w:after="0"/>
      </w:pPr>
      <w:bookmarkStart w:id="0" w:name="_GoBack"/>
      <w:bookmarkEnd w:id="0"/>
      <w:r>
        <w:t>DRAFT PROGRAMME</w:t>
      </w:r>
    </w:p>
    <w:p w14:paraId="69F656E0" w14:textId="77777777" w:rsidR="0045096C" w:rsidRPr="0045096C" w:rsidRDefault="0045096C" w:rsidP="006015B5">
      <w:pPr>
        <w:jc w:val="center"/>
        <w:rPr>
          <w:b/>
        </w:rPr>
      </w:pPr>
    </w:p>
    <w:p w14:paraId="2A6FBD39" w14:textId="547DB840" w:rsidR="006603A4" w:rsidRDefault="002832C7" w:rsidP="002832C7">
      <w:pPr>
        <w:jc w:val="center"/>
        <w:rPr>
          <w:b/>
        </w:rPr>
      </w:pPr>
      <w:r w:rsidRPr="002832C7">
        <w:rPr>
          <w:b/>
        </w:rPr>
        <w:t xml:space="preserve">WORKSHOP ON THE STATE-OF-PLAY OF WTO </w:t>
      </w:r>
      <w:r w:rsidR="002A6E70">
        <w:rPr>
          <w:b/>
        </w:rPr>
        <w:t>WORK</w:t>
      </w:r>
    </w:p>
    <w:p w14:paraId="1BBAF220" w14:textId="1EA92E21" w:rsidR="002A6E70" w:rsidRPr="002A6E70" w:rsidRDefault="002944C5" w:rsidP="002832C7">
      <w:pPr>
        <w:jc w:val="center"/>
        <w:rPr>
          <w:i/>
        </w:rPr>
      </w:pPr>
      <w:r>
        <w:rPr>
          <w:i/>
        </w:rPr>
        <w:t>04-06 February</w:t>
      </w:r>
      <w:r w:rsidR="006E74D0">
        <w:rPr>
          <w:i/>
        </w:rPr>
        <w:t xml:space="preserve"> 2020</w:t>
      </w:r>
    </w:p>
    <w:p w14:paraId="6DE774DD" w14:textId="7DCA9034" w:rsidR="002A6E70" w:rsidRPr="002A6E70" w:rsidRDefault="006E74D0" w:rsidP="002832C7">
      <w:pPr>
        <w:jc w:val="center"/>
      </w:pPr>
      <w:r>
        <w:t>Riyadh</w:t>
      </w:r>
      <w:r w:rsidR="002A6E70" w:rsidRPr="002A6E70">
        <w:t>,</w:t>
      </w:r>
      <w:r>
        <w:t xml:space="preserve"> Saudi Arabia</w:t>
      </w:r>
    </w:p>
    <w:p w14:paraId="637B27D0" w14:textId="77777777" w:rsidR="002832C7" w:rsidRDefault="002832C7" w:rsidP="002832C7">
      <w:pPr>
        <w:jc w:val="center"/>
        <w:rPr>
          <w:b/>
        </w:rPr>
      </w:pPr>
    </w:p>
    <w:p w14:paraId="06B33533" w14:textId="77777777" w:rsidR="00E63326" w:rsidRDefault="00E63326" w:rsidP="002832C7">
      <w:pPr>
        <w:jc w:val="center"/>
        <w:rPr>
          <w:b/>
        </w:rPr>
      </w:pPr>
    </w:p>
    <w:p w14:paraId="240CA8D1" w14:textId="77777777" w:rsidR="00563B44" w:rsidRPr="002832C7" w:rsidRDefault="00563B44" w:rsidP="002832C7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651"/>
      </w:tblGrid>
      <w:tr w:rsidR="006603A4" w14:paraId="41AE1B67" w14:textId="77777777" w:rsidTr="0031086A">
        <w:trPr>
          <w:jc w:val="center"/>
        </w:trPr>
        <w:tc>
          <w:tcPr>
            <w:tcW w:w="8206" w:type="dxa"/>
            <w:gridSpan w:val="2"/>
            <w:shd w:val="clear" w:color="auto" w:fill="4F81BD" w:themeFill="accent1"/>
          </w:tcPr>
          <w:p w14:paraId="0176B298" w14:textId="15C395C3" w:rsidR="006603A4" w:rsidRPr="00563B44" w:rsidRDefault="002944C5" w:rsidP="00563B44">
            <w:pPr>
              <w:spacing w:after="100"/>
              <w:jc w:val="center"/>
              <w:rPr>
                <w:b/>
              </w:rPr>
            </w:pPr>
            <w:r>
              <w:rPr>
                <w:b/>
              </w:rPr>
              <w:t>04 February 2020</w:t>
            </w:r>
            <w:r w:rsidR="006E74D0">
              <w:rPr>
                <w:b/>
              </w:rPr>
              <w:t xml:space="preserve"> </w:t>
            </w:r>
          </w:p>
        </w:tc>
      </w:tr>
      <w:tr w:rsidR="006603A4" w14:paraId="18962C6C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4F5E225F" w14:textId="77777777" w:rsidR="006603A4" w:rsidRPr="004807E9" w:rsidRDefault="00BC5C33" w:rsidP="00BC5C33">
            <w:pPr>
              <w:jc w:val="center"/>
            </w:pPr>
            <w:r w:rsidRPr="004807E9">
              <w:t>08h30-09h00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695987A7" w14:textId="77777777" w:rsidR="00E51679" w:rsidRDefault="00E51679" w:rsidP="00242A37">
            <w:pPr>
              <w:rPr>
                <w:b/>
              </w:rPr>
            </w:pPr>
          </w:p>
          <w:p w14:paraId="2AB5F626" w14:textId="77777777" w:rsidR="006603A4" w:rsidRPr="00D0649A" w:rsidRDefault="006603A4" w:rsidP="00242A37">
            <w:pPr>
              <w:rPr>
                <w:b/>
              </w:rPr>
            </w:pPr>
            <w:r w:rsidRPr="00D0649A">
              <w:rPr>
                <w:b/>
              </w:rPr>
              <w:t>Arrival of participants and registration</w:t>
            </w:r>
          </w:p>
          <w:p w14:paraId="21B0D989" w14:textId="77777777" w:rsidR="006603A4" w:rsidRPr="006F4119" w:rsidRDefault="006603A4" w:rsidP="00242A37"/>
        </w:tc>
      </w:tr>
      <w:tr w:rsidR="006603A4" w14:paraId="1A9758C0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5432E1EE" w14:textId="77777777" w:rsidR="00E51679" w:rsidRPr="004807E9" w:rsidRDefault="00E51679" w:rsidP="00BC5C33">
            <w:pPr>
              <w:jc w:val="center"/>
            </w:pPr>
            <w:bookmarkStart w:id="1" w:name="_Hlk20746866"/>
          </w:p>
          <w:p w14:paraId="3F12583A" w14:textId="26EDAB53" w:rsidR="006603A4" w:rsidRPr="004807E9" w:rsidRDefault="00BC5C33" w:rsidP="00BC5C33">
            <w:pPr>
              <w:jc w:val="center"/>
            </w:pPr>
            <w:r w:rsidRPr="004807E9">
              <w:t>09h00-</w:t>
            </w:r>
            <w:r w:rsidR="006E74D0">
              <w:t>09</w:t>
            </w:r>
            <w:r w:rsidRPr="004807E9">
              <w:t>h</w:t>
            </w:r>
            <w:r w:rsidR="006E74D0">
              <w:t>3</w:t>
            </w:r>
            <w:r w:rsidR="00582928" w:rsidRPr="004807E9">
              <w:t>0</w:t>
            </w:r>
          </w:p>
          <w:p w14:paraId="3DCF9112" w14:textId="77777777" w:rsidR="00E51679" w:rsidRPr="004807E9" w:rsidRDefault="00E51679" w:rsidP="00BC5C33">
            <w:pPr>
              <w:jc w:val="center"/>
            </w:pPr>
          </w:p>
        </w:tc>
        <w:tc>
          <w:tcPr>
            <w:tcW w:w="6651" w:type="dxa"/>
            <w:shd w:val="clear" w:color="auto" w:fill="DBE5F1" w:themeFill="accent1" w:themeFillTint="33"/>
          </w:tcPr>
          <w:p w14:paraId="5EFD3DDF" w14:textId="77777777" w:rsidR="006603A4" w:rsidRDefault="006603A4" w:rsidP="00242A37">
            <w:pPr>
              <w:pStyle w:val="ListParagraph"/>
            </w:pPr>
          </w:p>
          <w:p w14:paraId="343B8827" w14:textId="77777777" w:rsidR="00BC5C33" w:rsidRDefault="00BC5C33" w:rsidP="007A4F6E">
            <w:pPr>
              <w:rPr>
                <w:b/>
              </w:rPr>
            </w:pPr>
            <w:r>
              <w:rPr>
                <w:b/>
              </w:rPr>
              <w:t>Opening Session</w:t>
            </w:r>
          </w:p>
          <w:p w14:paraId="6AE30879" w14:textId="77777777" w:rsidR="00BC5C33" w:rsidRDefault="00BC5C33" w:rsidP="007A4F6E">
            <w:pPr>
              <w:rPr>
                <w:b/>
              </w:rPr>
            </w:pPr>
          </w:p>
          <w:p w14:paraId="1178A808" w14:textId="4FAA73BA" w:rsidR="00BC5C33" w:rsidRDefault="006603A4" w:rsidP="00BC5C33">
            <w:pPr>
              <w:pStyle w:val="ListParagraph"/>
              <w:numPr>
                <w:ilvl w:val="0"/>
                <w:numId w:val="19"/>
              </w:numPr>
            </w:pPr>
            <w:r w:rsidRPr="00BC5C33">
              <w:t xml:space="preserve">Welcome </w:t>
            </w:r>
            <w:r w:rsidR="001F695D">
              <w:t>R</w:t>
            </w:r>
            <w:r w:rsidRPr="00BC5C33">
              <w:t xml:space="preserve">emarks </w:t>
            </w:r>
          </w:p>
          <w:p w14:paraId="5CD2FE31" w14:textId="77777777" w:rsidR="00335D68" w:rsidRPr="00BC5C33" w:rsidRDefault="00335D68" w:rsidP="00BC5C33">
            <w:pPr>
              <w:pStyle w:val="ListParagraph"/>
              <w:numPr>
                <w:ilvl w:val="0"/>
                <w:numId w:val="19"/>
              </w:numPr>
            </w:pPr>
            <w:r>
              <w:t>Overview of the Programme</w:t>
            </w:r>
          </w:p>
          <w:p w14:paraId="256E7BFD" w14:textId="77777777" w:rsidR="006603A4" w:rsidRPr="006F4119" w:rsidRDefault="006603A4" w:rsidP="00242A37"/>
        </w:tc>
      </w:tr>
      <w:tr w:rsidR="006603A4" w14:paraId="6A43DD90" w14:textId="77777777" w:rsidTr="0031086A">
        <w:trPr>
          <w:jc w:val="center"/>
        </w:trPr>
        <w:tc>
          <w:tcPr>
            <w:tcW w:w="8206" w:type="dxa"/>
            <w:gridSpan w:val="2"/>
            <w:shd w:val="clear" w:color="auto" w:fill="95B3D7" w:themeFill="accent1" w:themeFillTint="99"/>
          </w:tcPr>
          <w:p w14:paraId="3B348E4C" w14:textId="77777777" w:rsidR="006603A4" w:rsidRPr="004807E9" w:rsidRDefault="00BC5C33" w:rsidP="00242A37">
            <w:pPr>
              <w:jc w:val="center"/>
            </w:pPr>
            <w:r w:rsidRPr="004807E9">
              <w:rPr>
                <w:b/>
              </w:rPr>
              <w:t>Coffee B</w:t>
            </w:r>
            <w:r w:rsidR="006603A4" w:rsidRPr="004807E9">
              <w:rPr>
                <w:b/>
              </w:rPr>
              <w:t>reak</w:t>
            </w:r>
          </w:p>
        </w:tc>
      </w:tr>
      <w:tr w:rsidR="006603A4" w14:paraId="7D036776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4897C2FD" w14:textId="31A6001A" w:rsidR="006603A4" w:rsidRPr="004807E9" w:rsidRDefault="006E74D0" w:rsidP="00BC5C33">
            <w:pPr>
              <w:jc w:val="center"/>
            </w:pPr>
            <w:r>
              <w:t>09</w:t>
            </w:r>
            <w:r w:rsidR="00BC5C33" w:rsidRPr="004807E9">
              <w:t>h</w:t>
            </w:r>
            <w:r>
              <w:t>45</w:t>
            </w:r>
            <w:r w:rsidR="00BC5C33" w:rsidRPr="004807E9">
              <w:t>-1</w:t>
            </w:r>
            <w:r w:rsidR="00582928" w:rsidRPr="004807E9">
              <w:t>1</w:t>
            </w:r>
            <w:r w:rsidR="00BC5C33" w:rsidRPr="004807E9">
              <w:t>h</w:t>
            </w:r>
            <w:r w:rsidR="00582928" w:rsidRPr="004807E9">
              <w:t>45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01205069" w14:textId="77777777" w:rsidR="006603A4" w:rsidRDefault="006603A4" w:rsidP="00242A37"/>
          <w:p w14:paraId="4FB98038" w14:textId="77777777" w:rsidR="006603A4" w:rsidRDefault="006603A4" w:rsidP="00242A37">
            <w:r w:rsidRPr="00894D0A">
              <w:rPr>
                <w:b/>
              </w:rPr>
              <w:t xml:space="preserve">Session </w:t>
            </w:r>
            <w:r w:rsidR="00582928">
              <w:rPr>
                <w:b/>
              </w:rPr>
              <w:t>1</w:t>
            </w:r>
            <w:r w:rsidRPr="00894D0A">
              <w:rPr>
                <w:b/>
              </w:rPr>
              <w:t>:</w:t>
            </w:r>
            <w:r w:rsidR="004807E9">
              <w:rPr>
                <w:b/>
              </w:rPr>
              <w:t xml:space="preserve"> </w:t>
            </w:r>
            <w:r w:rsidR="000C39B7">
              <w:rPr>
                <w:b/>
              </w:rPr>
              <w:t>Introduction to WTO Work and Current State of Play</w:t>
            </w:r>
          </w:p>
          <w:p w14:paraId="1A78C767" w14:textId="77777777" w:rsidR="006603A4" w:rsidRDefault="006603A4" w:rsidP="00242A37"/>
          <w:p w14:paraId="26867E4E" w14:textId="1815A7DF" w:rsidR="006603A4" w:rsidRDefault="000C39B7" w:rsidP="0028162A">
            <w:r>
              <w:t>In the</w:t>
            </w:r>
            <w:r w:rsidR="00362C41">
              <w:t xml:space="preserve"> </w:t>
            </w:r>
            <w:r>
              <w:t xml:space="preserve">first session of the workshop, a general overview of the main functions and core principles of the WTO will be provided. </w:t>
            </w:r>
            <w:r w:rsidR="0028162A">
              <w:t xml:space="preserve">This session will also </w:t>
            </w:r>
            <w:r w:rsidR="00992D41">
              <w:t>address</w:t>
            </w:r>
            <w:r w:rsidR="0028162A">
              <w:t xml:space="preserve"> the main discussions and results of the recent WTO Ministerial Conferences, implementation issues and the current challenges faced by the multilateral trading system.</w:t>
            </w:r>
          </w:p>
          <w:p w14:paraId="10A83F8B" w14:textId="77777777" w:rsidR="0031086A" w:rsidRDefault="0031086A" w:rsidP="006C5799"/>
          <w:p w14:paraId="3EAFE57B" w14:textId="485EC1AF" w:rsidR="006603A4" w:rsidRPr="006F4119" w:rsidRDefault="0031086A" w:rsidP="006E74D0">
            <w:r>
              <w:t>Speaker:</w:t>
            </w:r>
            <w:r w:rsidR="001B08A3">
              <w:t xml:space="preserve"> </w:t>
            </w:r>
          </w:p>
        </w:tc>
      </w:tr>
      <w:tr w:rsidR="006603A4" w14:paraId="06F73584" w14:textId="77777777" w:rsidTr="0031086A">
        <w:trPr>
          <w:jc w:val="center"/>
        </w:trPr>
        <w:tc>
          <w:tcPr>
            <w:tcW w:w="8206" w:type="dxa"/>
            <w:gridSpan w:val="2"/>
            <w:shd w:val="clear" w:color="auto" w:fill="95B3D7" w:themeFill="accent1" w:themeFillTint="99"/>
          </w:tcPr>
          <w:p w14:paraId="06A51A86" w14:textId="77777777" w:rsidR="006603A4" w:rsidRPr="004807E9" w:rsidRDefault="006603A4" w:rsidP="00242A37">
            <w:pPr>
              <w:jc w:val="center"/>
            </w:pPr>
            <w:r w:rsidRPr="004807E9">
              <w:rPr>
                <w:b/>
              </w:rPr>
              <w:t xml:space="preserve">Lunch </w:t>
            </w:r>
            <w:r w:rsidR="00DF5A67" w:rsidRPr="004807E9">
              <w:rPr>
                <w:b/>
              </w:rPr>
              <w:t>B</w:t>
            </w:r>
            <w:r w:rsidRPr="004807E9">
              <w:rPr>
                <w:b/>
              </w:rPr>
              <w:t>reak</w:t>
            </w:r>
          </w:p>
        </w:tc>
      </w:tr>
      <w:tr w:rsidR="00BC5C33" w14:paraId="35DA003B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54CCAA38" w14:textId="77777777" w:rsidR="00BC5C33" w:rsidRPr="004807E9" w:rsidRDefault="00BC5C33" w:rsidP="00BC5C33">
            <w:pPr>
              <w:jc w:val="center"/>
            </w:pPr>
            <w:r w:rsidRPr="004807E9">
              <w:t>1</w:t>
            </w:r>
            <w:r w:rsidR="00582928" w:rsidRPr="004807E9">
              <w:t>2</w:t>
            </w:r>
            <w:r w:rsidRPr="004807E9">
              <w:t>h</w:t>
            </w:r>
            <w:r w:rsidR="00582928" w:rsidRPr="004807E9">
              <w:t>45</w:t>
            </w:r>
            <w:r w:rsidRPr="004807E9">
              <w:t>-1</w:t>
            </w:r>
            <w:r w:rsidR="00582928" w:rsidRPr="004807E9">
              <w:t>3</w:t>
            </w:r>
            <w:r w:rsidR="00DF5A67" w:rsidRPr="004807E9">
              <w:t>h</w:t>
            </w:r>
            <w:r w:rsidR="00582928" w:rsidRPr="004807E9">
              <w:t>45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4AAB190F" w14:textId="77777777" w:rsidR="00BC5C33" w:rsidRDefault="00BC5C33" w:rsidP="00BC5C33"/>
          <w:p w14:paraId="20ED31D0" w14:textId="77777777" w:rsidR="00BC5C33" w:rsidRDefault="00BC5C33" w:rsidP="00BC5C33">
            <w:r w:rsidRPr="00894D0A">
              <w:rPr>
                <w:b/>
              </w:rPr>
              <w:t xml:space="preserve">Session </w:t>
            </w:r>
            <w:r w:rsidR="00582928">
              <w:rPr>
                <w:b/>
              </w:rPr>
              <w:t>2</w:t>
            </w:r>
            <w:r w:rsidRPr="00894D0A">
              <w:rPr>
                <w:b/>
              </w:rPr>
              <w:t>:</w:t>
            </w:r>
            <w:r>
              <w:t xml:space="preserve"> </w:t>
            </w:r>
            <w:r w:rsidR="004807E9">
              <w:rPr>
                <w:b/>
              </w:rPr>
              <w:t xml:space="preserve">Overview of </w:t>
            </w:r>
            <w:r w:rsidR="00335D68">
              <w:rPr>
                <w:b/>
              </w:rPr>
              <w:t xml:space="preserve">WTO </w:t>
            </w:r>
            <w:r w:rsidR="004807E9">
              <w:rPr>
                <w:b/>
              </w:rPr>
              <w:t>Negotiations – Part 1</w:t>
            </w:r>
          </w:p>
          <w:p w14:paraId="469CB87A" w14:textId="77777777" w:rsidR="00BC5C33" w:rsidRDefault="00BC5C33" w:rsidP="00BC5C33"/>
          <w:p w14:paraId="055DF7D7" w14:textId="5670801A" w:rsidR="0031086A" w:rsidRDefault="000C39B7" w:rsidP="0031086A">
            <w:r>
              <w:t xml:space="preserve">In this session, participants will be updated on the discussions </w:t>
            </w:r>
            <w:r w:rsidR="00992D41">
              <w:t>taking place</w:t>
            </w:r>
            <w:r>
              <w:t xml:space="preserve"> in the Trade Negotiations Committee and the various negotiating groups</w:t>
            </w:r>
            <w:r w:rsidR="00992D41">
              <w:t>, with particular focus on the negotiations on</w:t>
            </w:r>
            <w:r>
              <w:t xml:space="preserve"> </w:t>
            </w:r>
            <w:r w:rsidR="008B5E42">
              <w:t>fisheries subsidies</w:t>
            </w:r>
            <w:r w:rsidR="00992D41">
              <w:t xml:space="preserve"> and Agriculture. </w:t>
            </w:r>
            <w:r w:rsidR="008B5E42">
              <w:t xml:space="preserve"> </w:t>
            </w:r>
          </w:p>
          <w:p w14:paraId="00F9AC94" w14:textId="77777777" w:rsidR="0031086A" w:rsidRDefault="0031086A" w:rsidP="0031086A"/>
          <w:p w14:paraId="1200701F" w14:textId="7639210D" w:rsidR="00BC5C33" w:rsidRPr="006F4119" w:rsidRDefault="0031086A" w:rsidP="006E74D0">
            <w:r>
              <w:t>Speaker:</w:t>
            </w:r>
            <w:r w:rsidR="001B08A3">
              <w:t xml:space="preserve"> </w:t>
            </w:r>
          </w:p>
        </w:tc>
      </w:tr>
      <w:bookmarkEnd w:id="1"/>
      <w:tr w:rsidR="00582928" w:rsidRPr="00BA3FF5" w14:paraId="615FC712" w14:textId="77777777" w:rsidTr="0031086A">
        <w:trPr>
          <w:jc w:val="center"/>
        </w:trPr>
        <w:tc>
          <w:tcPr>
            <w:tcW w:w="8206" w:type="dxa"/>
            <w:gridSpan w:val="2"/>
            <w:shd w:val="clear" w:color="auto" w:fill="95B3D7" w:themeFill="accent1" w:themeFillTint="99"/>
          </w:tcPr>
          <w:p w14:paraId="07479D07" w14:textId="77777777" w:rsidR="00582928" w:rsidRPr="004807E9" w:rsidRDefault="00582928" w:rsidP="00582928">
            <w:pPr>
              <w:jc w:val="center"/>
              <w:rPr>
                <w:b/>
              </w:rPr>
            </w:pPr>
            <w:r w:rsidRPr="004807E9">
              <w:rPr>
                <w:b/>
              </w:rPr>
              <w:t>Coffee Break</w:t>
            </w:r>
          </w:p>
        </w:tc>
      </w:tr>
      <w:tr w:rsidR="00582928" w:rsidRPr="006F4119" w14:paraId="78E86F7F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3264D9DA" w14:textId="77777777" w:rsidR="00582928" w:rsidRPr="004807E9" w:rsidRDefault="00582928" w:rsidP="00F558F6">
            <w:pPr>
              <w:jc w:val="center"/>
            </w:pPr>
            <w:r w:rsidRPr="004807E9">
              <w:t>14h00-15h00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620651A4" w14:textId="77777777" w:rsidR="00582928" w:rsidRDefault="00582928" w:rsidP="00F558F6"/>
          <w:p w14:paraId="2776EB6D" w14:textId="77777777" w:rsidR="00582928" w:rsidRDefault="00582928" w:rsidP="00F558F6">
            <w:r w:rsidRPr="00894D0A">
              <w:rPr>
                <w:b/>
              </w:rPr>
              <w:t xml:space="preserve">Session </w:t>
            </w:r>
            <w:r w:rsidR="004807E9">
              <w:rPr>
                <w:b/>
              </w:rPr>
              <w:t>3</w:t>
            </w:r>
            <w:r w:rsidRPr="00894D0A">
              <w:rPr>
                <w:b/>
              </w:rPr>
              <w:t>:</w:t>
            </w:r>
            <w:r>
              <w:t xml:space="preserve"> </w:t>
            </w:r>
            <w:r w:rsidR="004807E9">
              <w:rPr>
                <w:b/>
              </w:rPr>
              <w:t xml:space="preserve">Overview of </w:t>
            </w:r>
            <w:r w:rsidR="00335D68">
              <w:rPr>
                <w:b/>
              </w:rPr>
              <w:t xml:space="preserve">WTO </w:t>
            </w:r>
            <w:r w:rsidR="004807E9">
              <w:rPr>
                <w:b/>
              </w:rPr>
              <w:t>Negotiations – Part 2</w:t>
            </w:r>
          </w:p>
          <w:p w14:paraId="18328F30" w14:textId="77777777" w:rsidR="00582928" w:rsidRDefault="00582928" w:rsidP="00F558F6"/>
          <w:p w14:paraId="66ABEF10" w14:textId="77777777" w:rsidR="0031086A" w:rsidRDefault="00E444FB" w:rsidP="0031086A">
            <w:r>
              <w:t xml:space="preserve">Discussions on </w:t>
            </w:r>
            <w:r w:rsidR="008B5E42">
              <w:t xml:space="preserve">WTO negotiations </w:t>
            </w:r>
            <w:r>
              <w:t>will continue in this session which will also</w:t>
            </w:r>
            <w:r w:rsidR="008B5E42">
              <w:t xml:space="preserve"> cover</w:t>
            </w:r>
            <w:r w:rsidR="000C39B7">
              <w:t xml:space="preserve"> other </w:t>
            </w:r>
            <w:r>
              <w:t xml:space="preserve">negotiating areas such as services and special and differential treatment. </w:t>
            </w:r>
          </w:p>
          <w:p w14:paraId="6CFF35B7" w14:textId="77777777" w:rsidR="0031086A" w:rsidRDefault="0031086A" w:rsidP="0031086A"/>
          <w:p w14:paraId="013211FB" w14:textId="08B5DEB2" w:rsidR="003012F3" w:rsidRPr="006F4119" w:rsidRDefault="0031086A" w:rsidP="006E74D0">
            <w:r>
              <w:t>Speaker:</w:t>
            </w:r>
            <w:r w:rsidR="001B08A3">
              <w:t xml:space="preserve"> </w:t>
            </w:r>
          </w:p>
        </w:tc>
      </w:tr>
      <w:tr w:rsidR="006603A4" w14:paraId="65950D88" w14:textId="77777777" w:rsidTr="0031086A">
        <w:trPr>
          <w:jc w:val="center"/>
        </w:trPr>
        <w:tc>
          <w:tcPr>
            <w:tcW w:w="8206" w:type="dxa"/>
            <w:gridSpan w:val="2"/>
            <w:shd w:val="clear" w:color="auto" w:fill="4F81BD" w:themeFill="accent1"/>
          </w:tcPr>
          <w:p w14:paraId="0D3FD9D9" w14:textId="14ABEE6C" w:rsidR="006603A4" w:rsidRPr="00563B44" w:rsidRDefault="002944C5" w:rsidP="00563B44">
            <w:pPr>
              <w:keepNext/>
              <w:spacing w:after="100"/>
              <w:jc w:val="center"/>
              <w:rPr>
                <w:b/>
              </w:rPr>
            </w:pPr>
            <w:bookmarkStart w:id="2" w:name="_Hlk20756207"/>
            <w:r>
              <w:rPr>
                <w:b/>
              </w:rPr>
              <w:lastRenderedPageBreak/>
              <w:t>05 February 2020</w:t>
            </w:r>
          </w:p>
        </w:tc>
      </w:tr>
      <w:tr w:rsidR="00582928" w14:paraId="6546DBE0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223500FC" w14:textId="77777777" w:rsidR="00582928" w:rsidRDefault="00582928" w:rsidP="00582928">
            <w:pPr>
              <w:keepNext/>
              <w:jc w:val="center"/>
            </w:pPr>
            <w:r>
              <w:t>08h30-10h00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66739092" w14:textId="77777777" w:rsidR="00582928" w:rsidRDefault="00582928" w:rsidP="00582928"/>
          <w:p w14:paraId="7A7E26C0" w14:textId="77777777" w:rsidR="00582928" w:rsidRDefault="00582928" w:rsidP="00582928">
            <w:r w:rsidRPr="00894D0A">
              <w:rPr>
                <w:b/>
              </w:rPr>
              <w:t xml:space="preserve">Session </w:t>
            </w:r>
            <w:r>
              <w:rPr>
                <w:b/>
              </w:rPr>
              <w:t>4</w:t>
            </w:r>
            <w:r w:rsidRPr="00894D0A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Rulemaking and Development</w:t>
            </w:r>
          </w:p>
          <w:p w14:paraId="54A17B4D" w14:textId="77777777" w:rsidR="00582928" w:rsidRDefault="00582928" w:rsidP="00582928"/>
          <w:p w14:paraId="52041402" w14:textId="58BAAC6F" w:rsidR="0031086A" w:rsidRDefault="00E444FB" w:rsidP="00C10840">
            <w:r>
              <w:t>This session will focus on the discussions</w:t>
            </w:r>
            <w:r w:rsidR="005C35E5">
              <w:t xml:space="preserve"> related to the</w:t>
            </w:r>
            <w:r>
              <w:t xml:space="preserve"> proposals put forward by Members on rulemaking and development within the </w:t>
            </w:r>
            <w:r w:rsidR="00992D41">
              <w:t>debate on</w:t>
            </w:r>
            <w:r>
              <w:t xml:space="preserve"> WTO Reform. </w:t>
            </w:r>
          </w:p>
          <w:p w14:paraId="0180852B" w14:textId="77777777" w:rsidR="0031086A" w:rsidRDefault="0031086A" w:rsidP="0031086A"/>
          <w:p w14:paraId="3A818070" w14:textId="4D0063A1" w:rsidR="0031086A" w:rsidRDefault="0031086A" w:rsidP="0031086A">
            <w:r>
              <w:t>Speaker:</w:t>
            </w:r>
          </w:p>
          <w:p w14:paraId="15291CE9" w14:textId="77777777" w:rsidR="00582928" w:rsidRPr="006F4119" w:rsidRDefault="00582928" w:rsidP="00582928"/>
        </w:tc>
      </w:tr>
      <w:tr w:rsidR="0043388B" w14:paraId="1CF32A4E" w14:textId="77777777" w:rsidTr="0031086A">
        <w:trPr>
          <w:jc w:val="center"/>
        </w:trPr>
        <w:tc>
          <w:tcPr>
            <w:tcW w:w="8206" w:type="dxa"/>
            <w:gridSpan w:val="2"/>
            <w:shd w:val="clear" w:color="auto" w:fill="95B3D7" w:themeFill="accent1" w:themeFillTint="99"/>
          </w:tcPr>
          <w:p w14:paraId="6A6E1A48" w14:textId="77777777" w:rsidR="0043388B" w:rsidRPr="002832C7" w:rsidRDefault="00BA3FF5" w:rsidP="0043388B">
            <w:pPr>
              <w:keepNext/>
              <w:jc w:val="center"/>
              <w:rPr>
                <w:b/>
              </w:rPr>
            </w:pPr>
            <w:r w:rsidRPr="002832C7">
              <w:rPr>
                <w:b/>
              </w:rPr>
              <w:t>Coffee Break</w:t>
            </w:r>
          </w:p>
        </w:tc>
      </w:tr>
      <w:tr w:rsidR="00582928" w14:paraId="53C4CEE5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37AAA643" w14:textId="77777777" w:rsidR="00582928" w:rsidRDefault="00582928" w:rsidP="00582928">
            <w:pPr>
              <w:keepNext/>
              <w:jc w:val="center"/>
            </w:pPr>
            <w:r>
              <w:t>10h15-11h45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28B92D76" w14:textId="77777777" w:rsidR="00582928" w:rsidRDefault="00582928" w:rsidP="00582928"/>
          <w:p w14:paraId="6311C887" w14:textId="77777777" w:rsidR="00582928" w:rsidRDefault="00582928" w:rsidP="00582928">
            <w:r w:rsidRPr="00894D0A">
              <w:rPr>
                <w:b/>
              </w:rPr>
              <w:t xml:space="preserve">Session </w:t>
            </w:r>
            <w:r>
              <w:rPr>
                <w:b/>
              </w:rPr>
              <w:t>5</w:t>
            </w:r>
            <w:r w:rsidRPr="00894D0A">
              <w:rPr>
                <w:b/>
              </w:rPr>
              <w:t>:</w:t>
            </w:r>
            <w:r>
              <w:t xml:space="preserve"> </w:t>
            </w:r>
            <w:r w:rsidRPr="004807E9">
              <w:rPr>
                <w:b/>
              </w:rPr>
              <w:t>Informal Process on</w:t>
            </w:r>
            <w:r w:rsidR="00E444FB">
              <w:rPr>
                <w:b/>
              </w:rPr>
              <w:t xml:space="preserve"> matters related to</w:t>
            </w:r>
            <w:r w:rsidRPr="004807E9">
              <w:rPr>
                <w:b/>
              </w:rPr>
              <w:t xml:space="preserve"> the Functioning of the Appellate Body</w:t>
            </w:r>
          </w:p>
          <w:p w14:paraId="3C46D9E1" w14:textId="77777777" w:rsidR="00582928" w:rsidRDefault="00582928" w:rsidP="00582928"/>
          <w:p w14:paraId="6DE1C801" w14:textId="5EA2A212" w:rsidR="0031086A" w:rsidRDefault="005C35E5" w:rsidP="0031086A">
            <w:r>
              <w:t xml:space="preserve">This session will </w:t>
            </w:r>
            <w:r w:rsidR="00992D41">
              <w:t>address the discussions and the proposals in</w:t>
            </w:r>
            <w:r w:rsidR="00563B44">
              <w:t xml:space="preserve"> the </w:t>
            </w:r>
            <w:r w:rsidR="00C10840" w:rsidRPr="00C10840">
              <w:t>informal process</w:t>
            </w:r>
            <w:r w:rsidR="00563B44">
              <w:t xml:space="preserve"> on matters related to the Functioning of the Appellate Body</w:t>
            </w:r>
            <w:r w:rsidR="00992D41">
              <w:t>, led by a Facilitator under the auspices of the General Council</w:t>
            </w:r>
            <w:r w:rsidR="006E74D0">
              <w:t xml:space="preserve"> as well as the current state of play.</w:t>
            </w:r>
          </w:p>
          <w:p w14:paraId="35A0E945" w14:textId="77777777" w:rsidR="004504C0" w:rsidRDefault="004504C0" w:rsidP="0031086A"/>
          <w:p w14:paraId="09C2BA7D" w14:textId="22FAF347" w:rsidR="0031086A" w:rsidRDefault="0031086A" w:rsidP="0031086A">
            <w:r>
              <w:t>Speaker:</w:t>
            </w:r>
            <w:r w:rsidR="001B08A3">
              <w:t xml:space="preserve"> </w:t>
            </w:r>
          </w:p>
          <w:p w14:paraId="0E790516" w14:textId="77777777" w:rsidR="00582928" w:rsidRPr="006F4119" w:rsidRDefault="00582928" w:rsidP="00582928"/>
        </w:tc>
      </w:tr>
      <w:tr w:rsidR="00BA3FF5" w14:paraId="3F062364" w14:textId="77777777" w:rsidTr="0031086A">
        <w:trPr>
          <w:jc w:val="center"/>
        </w:trPr>
        <w:tc>
          <w:tcPr>
            <w:tcW w:w="8206" w:type="dxa"/>
            <w:gridSpan w:val="2"/>
            <w:shd w:val="clear" w:color="auto" w:fill="95B3D7" w:themeFill="accent1" w:themeFillTint="99"/>
          </w:tcPr>
          <w:p w14:paraId="4041FFFB" w14:textId="77777777" w:rsidR="00BA3FF5" w:rsidRPr="002832C7" w:rsidRDefault="00BA3FF5" w:rsidP="00BA3FF5">
            <w:pPr>
              <w:jc w:val="center"/>
              <w:rPr>
                <w:b/>
              </w:rPr>
            </w:pPr>
            <w:r w:rsidRPr="002832C7">
              <w:rPr>
                <w:b/>
              </w:rPr>
              <w:t>Lunch Break</w:t>
            </w:r>
          </w:p>
        </w:tc>
      </w:tr>
      <w:tr w:rsidR="00582928" w14:paraId="0EA17109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698879AF" w14:textId="77777777" w:rsidR="00582928" w:rsidRPr="00BA3FF5" w:rsidRDefault="00582928" w:rsidP="00582928">
            <w:pPr>
              <w:jc w:val="center"/>
            </w:pPr>
            <w:r>
              <w:t>12h45-13h45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33B11DEB" w14:textId="77777777" w:rsidR="00582928" w:rsidRDefault="00582928" w:rsidP="00582928"/>
          <w:p w14:paraId="2CD59711" w14:textId="77777777" w:rsidR="00582928" w:rsidRPr="002832C7" w:rsidRDefault="00582928" w:rsidP="00582928">
            <w:pPr>
              <w:rPr>
                <w:b/>
              </w:rPr>
            </w:pPr>
            <w:r w:rsidRPr="002832C7">
              <w:rPr>
                <w:b/>
              </w:rPr>
              <w:t>Session 6: Deliberative Function</w:t>
            </w:r>
          </w:p>
          <w:p w14:paraId="191120B9" w14:textId="77777777" w:rsidR="00582928" w:rsidRDefault="00582928" w:rsidP="00582928"/>
          <w:p w14:paraId="41211FDD" w14:textId="5AF5F24E" w:rsidR="001F7D95" w:rsidRDefault="00563B44" w:rsidP="0031086A">
            <w:r>
              <w:t xml:space="preserve">Still </w:t>
            </w:r>
            <w:r w:rsidR="00992D41">
              <w:t>focusing on the debate on</w:t>
            </w:r>
            <w:r w:rsidR="00BF4A16">
              <w:t xml:space="preserve"> </w:t>
            </w:r>
            <w:r>
              <w:t xml:space="preserve">WTO Reform, this session will </w:t>
            </w:r>
            <w:r w:rsidR="00992D41">
              <w:t xml:space="preserve">address </w:t>
            </w:r>
            <w:r>
              <w:t xml:space="preserve">Members' discussions and proposals on </w:t>
            </w:r>
            <w:r w:rsidRPr="00563B44">
              <w:t>strengthening WTO regular work</w:t>
            </w:r>
            <w:r w:rsidR="00992D41">
              <w:t>,</w:t>
            </w:r>
            <w:r w:rsidRPr="00563B44">
              <w:t xml:space="preserve"> </w:t>
            </w:r>
            <w:r>
              <w:t xml:space="preserve">with emphasis on improving the deliberative function and reinforcing the way to address specific trade concerns in regular bodies. </w:t>
            </w:r>
          </w:p>
          <w:p w14:paraId="2ED04624" w14:textId="77777777" w:rsidR="00563B44" w:rsidRDefault="00563B44" w:rsidP="0031086A"/>
          <w:p w14:paraId="624866ED" w14:textId="203082C7" w:rsidR="00582928" w:rsidRPr="006F4119" w:rsidRDefault="0031086A" w:rsidP="006E74D0">
            <w:r>
              <w:t>Speaker:</w:t>
            </w:r>
            <w:r w:rsidR="001B08A3">
              <w:t xml:space="preserve"> </w:t>
            </w:r>
          </w:p>
        </w:tc>
      </w:tr>
      <w:tr w:rsidR="00BA3FF5" w14:paraId="02069CE1" w14:textId="77777777" w:rsidTr="0031086A">
        <w:trPr>
          <w:jc w:val="center"/>
        </w:trPr>
        <w:tc>
          <w:tcPr>
            <w:tcW w:w="8206" w:type="dxa"/>
            <w:gridSpan w:val="2"/>
            <w:shd w:val="clear" w:color="auto" w:fill="95B3D7" w:themeFill="accent1" w:themeFillTint="99"/>
          </w:tcPr>
          <w:p w14:paraId="627A1F10" w14:textId="77777777" w:rsidR="00BA3FF5" w:rsidRPr="002832C7" w:rsidRDefault="00BA3FF5" w:rsidP="00BA3FF5">
            <w:pPr>
              <w:jc w:val="center"/>
              <w:rPr>
                <w:b/>
              </w:rPr>
            </w:pPr>
            <w:bookmarkStart w:id="3" w:name="_Hlk20749143"/>
            <w:r w:rsidRPr="002832C7">
              <w:rPr>
                <w:b/>
              </w:rPr>
              <w:t>Coffee Break</w:t>
            </w:r>
          </w:p>
        </w:tc>
      </w:tr>
      <w:tr w:rsidR="00582928" w14:paraId="4F3D19D0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52BD2513" w14:textId="77777777" w:rsidR="00582928" w:rsidRPr="00BA3FF5" w:rsidRDefault="00582928" w:rsidP="00582928">
            <w:pPr>
              <w:jc w:val="center"/>
            </w:pPr>
            <w:r>
              <w:t>14h00-15h00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3D4432BB" w14:textId="77777777" w:rsidR="00582928" w:rsidRDefault="00582928" w:rsidP="00582928"/>
          <w:p w14:paraId="7C5AFED4" w14:textId="77777777" w:rsidR="00582928" w:rsidRDefault="00582928" w:rsidP="00582928">
            <w:r w:rsidRPr="00894D0A">
              <w:rPr>
                <w:b/>
              </w:rPr>
              <w:t xml:space="preserve">Session </w:t>
            </w:r>
            <w:r>
              <w:rPr>
                <w:b/>
              </w:rPr>
              <w:t>7</w:t>
            </w:r>
            <w:r w:rsidRPr="00894D0A">
              <w:rPr>
                <w:b/>
              </w:rPr>
              <w:t>:</w:t>
            </w:r>
            <w:r>
              <w:t xml:space="preserve"> </w:t>
            </w:r>
            <w:r w:rsidR="004807E9">
              <w:rPr>
                <w:b/>
              </w:rPr>
              <w:t>Transparency</w:t>
            </w:r>
          </w:p>
          <w:p w14:paraId="49EF157C" w14:textId="77777777" w:rsidR="00582928" w:rsidRDefault="00582928" w:rsidP="00582928"/>
          <w:p w14:paraId="7418034C" w14:textId="77777777" w:rsidR="0031086A" w:rsidRDefault="000262D7" w:rsidP="0031086A">
            <w:r>
              <w:t>This session will continue to discuss proposals relating to strengthening WTO regular work with a focus on transparency including the relevant proposals.</w:t>
            </w:r>
          </w:p>
          <w:p w14:paraId="58435EDD" w14:textId="77777777" w:rsidR="001F7D95" w:rsidRDefault="001F7D95" w:rsidP="0031086A"/>
          <w:p w14:paraId="791900B5" w14:textId="0015D7E6" w:rsidR="00582928" w:rsidRPr="006F4119" w:rsidRDefault="0031086A" w:rsidP="006E74D0">
            <w:r>
              <w:t>Speaker:</w:t>
            </w:r>
            <w:r w:rsidR="001B08A3">
              <w:t xml:space="preserve"> </w:t>
            </w:r>
          </w:p>
        </w:tc>
      </w:tr>
    </w:tbl>
    <w:p w14:paraId="7614165A" w14:textId="7921C006" w:rsidR="0031086A" w:rsidRDefault="0031086A"/>
    <w:p w14:paraId="1ED09CB8" w14:textId="77777777" w:rsidR="004504C0" w:rsidRDefault="004504C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651"/>
      </w:tblGrid>
      <w:tr w:rsidR="00DF5A67" w14:paraId="3DFE4CBD" w14:textId="77777777" w:rsidTr="004504C0">
        <w:trPr>
          <w:tblHeader/>
          <w:jc w:val="center"/>
        </w:trPr>
        <w:tc>
          <w:tcPr>
            <w:tcW w:w="8206" w:type="dxa"/>
            <w:gridSpan w:val="2"/>
            <w:shd w:val="clear" w:color="auto" w:fill="4F81BD" w:themeFill="accent1"/>
          </w:tcPr>
          <w:bookmarkEnd w:id="3"/>
          <w:p w14:paraId="5619FCA6" w14:textId="79BA6789" w:rsidR="00DF5A67" w:rsidRPr="00563B44" w:rsidRDefault="002944C5" w:rsidP="00563B44">
            <w:pPr>
              <w:keepNext/>
              <w:spacing w:after="100"/>
              <w:jc w:val="center"/>
              <w:rPr>
                <w:b/>
              </w:rPr>
            </w:pPr>
            <w:r>
              <w:rPr>
                <w:b/>
              </w:rPr>
              <w:t>06 February 2020</w:t>
            </w:r>
          </w:p>
        </w:tc>
      </w:tr>
      <w:tr w:rsidR="00B738BA" w:rsidRPr="006F4119" w14:paraId="0B184079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5FD2BFBB" w14:textId="77777777" w:rsidR="00B738BA" w:rsidRPr="002B718D" w:rsidRDefault="00B738BA" w:rsidP="00B738BA">
            <w:pPr>
              <w:jc w:val="center"/>
              <w:rPr>
                <w:i/>
              </w:rPr>
            </w:pPr>
            <w:r>
              <w:t>08h30-09h30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3312574E" w14:textId="77777777" w:rsidR="00B738BA" w:rsidRDefault="00B738BA" w:rsidP="00B738BA">
            <w:pPr>
              <w:rPr>
                <w:b/>
              </w:rPr>
            </w:pPr>
          </w:p>
          <w:p w14:paraId="61AC142A" w14:textId="77777777" w:rsidR="00B738BA" w:rsidRDefault="00B738BA" w:rsidP="00B738BA">
            <w:r w:rsidRPr="00894D0A">
              <w:rPr>
                <w:b/>
              </w:rPr>
              <w:t xml:space="preserve">Session </w:t>
            </w:r>
            <w:r>
              <w:rPr>
                <w:b/>
              </w:rPr>
              <w:t>8</w:t>
            </w:r>
            <w:r w:rsidRPr="00894D0A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Work Programme on Electronic Commerce</w:t>
            </w:r>
          </w:p>
          <w:p w14:paraId="218E7E61" w14:textId="77777777" w:rsidR="00B738BA" w:rsidRDefault="00B738BA" w:rsidP="00B738BA"/>
          <w:p w14:paraId="72931106" w14:textId="49A499B4" w:rsidR="00B738BA" w:rsidRDefault="00B738BA" w:rsidP="00B738BA">
            <w:r>
              <w:t>This session will cover discussion</w:t>
            </w:r>
            <w:r w:rsidR="004504C0">
              <w:t>s</w:t>
            </w:r>
            <w:r>
              <w:t xml:space="preserve"> under the Work Programme on Electronic Commerce including the moratorium on customs duties on electronic transmissions.</w:t>
            </w:r>
          </w:p>
          <w:p w14:paraId="0F00FF74" w14:textId="77777777" w:rsidR="00B738BA" w:rsidRDefault="00B738BA" w:rsidP="00B738BA"/>
          <w:p w14:paraId="3454CAC0" w14:textId="00E8468D" w:rsidR="00B738BA" w:rsidRDefault="00B738BA" w:rsidP="00B738BA">
            <w:r>
              <w:t>Speaker:</w:t>
            </w:r>
            <w:r w:rsidR="001B08A3">
              <w:t xml:space="preserve"> </w:t>
            </w:r>
          </w:p>
          <w:p w14:paraId="33F2F7C6" w14:textId="77777777" w:rsidR="00B738BA" w:rsidRDefault="00B738BA" w:rsidP="00B738BA"/>
        </w:tc>
      </w:tr>
      <w:tr w:rsidR="00B738BA" w:rsidRPr="006F4119" w14:paraId="2932BAF8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3C6E17C2" w14:textId="77777777" w:rsidR="00B738BA" w:rsidRDefault="00B738BA" w:rsidP="00B738BA">
            <w:pPr>
              <w:jc w:val="center"/>
            </w:pPr>
            <w:r>
              <w:t>09h30-10h45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669230FC" w14:textId="77777777" w:rsidR="00B738BA" w:rsidRDefault="00B738BA" w:rsidP="00B738BA">
            <w:pPr>
              <w:rPr>
                <w:b/>
              </w:rPr>
            </w:pPr>
          </w:p>
          <w:p w14:paraId="116E26A4" w14:textId="77777777" w:rsidR="00B738BA" w:rsidRDefault="00B738BA" w:rsidP="00B738BA">
            <w:r w:rsidRPr="00894D0A">
              <w:rPr>
                <w:b/>
              </w:rPr>
              <w:t xml:space="preserve">Session </w:t>
            </w:r>
            <w:r>
              <w:rPr>
                <w:b/>
              </w:rPr>
              <w:t>9</w:t>
            </w:r>
            <w:r w:rsidRPr="00894D0A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Joint Statement Initiatives</w:t>
            </w:r>
          </w:p>
          <w:p w14:paraId="49CD150E" w14:textId="77777777" w:rsidR="00B738BA" w:rsidRDefault="00B738BA" w:rsidP="00B738BA"/>
          <w:p w14:paraId="5BAD8BC2" w14:textId="77777777" w:rsidR="00B738BA" w:rsidRDefault="00B738BA" w:rsidP="00B738BA">
            <w:r>
              <w:t xml:space="preserve">In this session, a general overview will be provided on the discussions related to the Joint Statement Initiatives </w:t>
            </w:r>
            <w:r w:rsidRPr="001F7D95">
              <w:t>s</w:t>
            </w:r>
            <w:r>
              <w:t xml:space="preserve">tarted </w:t>
            </w:r>
            <w:r w:rsidRPr="001F7D95">
              <w:t xml:space="preserve">by like-minded groups of WTO </w:t>
            </w:r>
            <w:r>
              <w:t>M</w:t>
            </w:r>
            <w:r w:rsidRPr="001F7D95">
              <w:t xml:space="preserve">embers </w:t>
            </w:r>
            <w:r>
              <w:t xml:space="preserve">at MC11 in Buenos Aires including on domestic regulation; electronic commerce; investment facilitation; micro, small </w:t>
            </w:r>
            <w:r>
              <w:lastRenderedPageBreak/>
              <w:t xml:space="preserve">and medium enterprises (MSMEs) and trade and women's economic empowerment. </w:t>
            </w:r>
          </w:p>
          <w:p w14:paraId="2BD76ADE" w14:textId="77777777" w:rsidR="00B738BA" w:rsidRDefault="00B738BA" w:rsidP="00B738BA"/>
          <w:p w14:paraId="5CFB2120" w14:textId="69E74BC3" w:rsidR="00B738BA" w:rsidRDefault="00B738BA" w:rsidP="006E74D0">
            <w:r>
              <w:t>Speaker:</w:t>
            </w:r>
            <w:r w:rsidR="001B08A3">
              <w:t xml:space="preserve"> </w:t>
            </w:r>
          </w:p>
        </w:tc>
      </w:tr>
      <w:tr w:rsidR="00B738BA" w:rsidRPr="006F4119" w14:paraId="79B4B1D9" w14:textId="77777777" w:rsidTr="0031086A">
        <w:trPr>
          <w:jc w:val="center"/>
        </w:trPr>
        <w:tc>
          <w:tcPr>
            <w:tcW w:w="8206" w:type="dxa"/>
            <w:gridSpan w:val="2"/>
            <w:shd w:val="clear" w:color="auto" w:fill="95B3D7" w:themeFill="accent1" w:themeFillTint="99"/>
          </w:tcPr>
          <w:p w14:paraId="1A3B8D9E" w14:textId="77777777" w:rsidR="00B738BA" w:rsidRPr="002832C7" w:rsidRDefault="00B738BA" w:rsidP="00B738BA">
            <w:pPr>
              <w:jc w:val="center"/>
            </w:pPr>
            <w:r w:rsidRPr="002832C7">
              <w:rPr>
                <w:b/>
              </w:rPr>
              <w:lastRenderedPageBreak/>
              <w:t>Coffee Break</w:t>
            </w:r>
          </w:p>
        </w:tc>
      </w:tr>
      <w:tr w:rsidR="00B738BA" w:rsidRPr="006F4119" w14:paraId="24296908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2417CEAA" w14:textId="77777777" w:rsidR="00B738BA" w:rsidRPr="002832C7" w:rsidRDefault="00B738BA" w:rsidP="00B738BA">
            <w:pPr>
              <w:jc w:val="center"/>
            </w:pPr>
            <w:r w:rsidRPr="002832C7">
              <w:t>1</w:t>
            </w:r>
            <w:r>
              <w:t>1</w:t>
            </w:r>
            <w:r w:rsidRPr="002832C7">
              <w:t>h</w:t>
            </w:r>
            <w:r>
              <w:t>00</w:t>
            </w:r>
            <w:r w:rsidRPr="002832C7">
              <w:t>-11h45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40601AE9" w14:textId="77777777" w:rsidR="00B738BA" w:rsidRPr="002832C7" w:rsidRDefault="00B738BA" w:rsidP="00B738BA"/>
          <w:p w14:paraId="41F53D9A" w14:textId="77777777" w:rsidR="00B738BA" w:rsidRPr="002832C7" w:rsidRDefault="00B738BA" w:rsidP="00B738BA">
            <w:r w:rsidRPr="002832C7">
              <w:rPr>
                <w:b/>
              </w:rPr>
              <w:t xml:space="preserve">Session </w:t>
            </w:r>
            <w:r>
              <w:rPr>
                <w:b/>
              </w:rPr>
              <w:t>10</w:t>
            </w:r>
            <w:r w:rsidRPr="002832C7">
              <w:rPr>
                <w:b/>
              </w:rPr>
              <w:t>: Lead up to MC12</w:t>
            </w:r>
          </w:p>
          <w:p w14:paraId="7849186E" w14:textId="77777777" w:rsidR="00B738BA" w:rsidRPr="002832C7" w:rsidRDefault="00B738BA" w:rsidP="00B738BA"/>
          <w:p w14:paraId="273B2BD9" w14:textId="3800296D" w:rsidR="00B738BA" w:rsidRDefault="00B738BA" w:rsidP="00B738BA">
            <w:r>
              <w:t xml:space="preserve">This session will </w:t>
            </w:r>
            <w:r w:rsidR="00992D41">
              <w:t>address the preparations for</w:t>
            </w:r>
            <w:r>
              <w:t xml:space="preserve"> the upcoming Ministerial Conference in June 2020. At the end of the session, some time will also be provided to participants to prepare for the roundtable discussion.</w:t>
            </w:r>
          </w:p>
          <w:p w14:paraId="240DEF49" w14:textId="77777777" w:rsidR="00B738BA" w:rsidRDefault="00B738BA" w:rsidP="00B738BA">
            <w:r>
              <w:t xml:space="preserve"> </w:t>
            </w:r>
          </w:p>
          <w:p w14:paraId="639D49E9" w14:textId="69526F0D" w:rsidR="00B738BA" w:rsidRPr="002832C7" w:rsidRDefault="00B738BA" w:rsidP="006E74D0">
            <w:r>
              <w:t>Speaker:</w:t>
            </w:r>
            <w:r w:rsidR="001B08A3">
              <w:t xml:space="preserve"> </w:t>
            </w:r>
          </w:p>
        </w:tc>
      </w:tr>
      <w:tr w:rsidR="00B738BA" w14:paraId="4ECFEF34" w14:textId="77777777" w:rsidTr="0031086A">
        <w:trPr>
          <w:jc w:val="center"/>
        </w:trPr>
        <w:tc>
          <w:tcPr>
            <w:tcW w:w="8206" w:type="dxa"/>
            <w:gridSpan w:val="2"/>
            <w:shd w:val="clear" w:color="auto" w:fill="95B3D7" w:themeFill="accent1" w:themeFillTint="99"/>
          </w:tcPr>
          <w:p w14:paraId="63AF1545" w14:textId="77777777" w:rsidR="00B738BA" w:rsidRPr="002832C7" w:rsidRDefault="00B738BA" w:rsidP="00B738BA">
            <w:pPr>
              <w:jc w:val="center"/>
            </w:pPr>
            <w:r w:rsidRPr="002832C7">
              <w:rPr>
                <w:b/>
              </w:rPr>
              <w:t>Lunch Break</w:t>
            </w:r>
          </w:p>
        </w:tc>
      </w:tr>
      <w:tr w:rsidR="00B738BA" w:rsidRPr="006F4119" w14:paraId="33B41A5F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1A187064" w14:textId="77777777" w:rsidR="00B738BA" w:rsidRPr="002832C7" w:rsidRDefault="00B738BA" w:rsidP="00B738BA">
            <w:pPr>
              <w:jc w:val="center"/>
            </w:pPr>
            <w:r w:rsidRPr="002832C7">
              <w:t>12h45-13h45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369C5F48" w14:textId="77777777" w:rsidR="00B738BA" w:rsidRPr="002832C7" w:rsidRDefault="00B738BA" w:rsidP="00B738BA"/>
          <w:p w14:paraId="2800146A" w14:textId="37118EC0" w:rsidR="00B738BA" w:rsidRPr="00B738BA" w:rsidRDefault="00B738BA" w:rsidP="00B738BA">
            <w:pPr>
              <w:rPr>
                <w:b/>
              </w:rPr>
            </w:pPr>
            <w:r w:rsidRPr="00B738BA">
              <w:rPr>
                <w:b/>
              </w:rPr>
              <w:t>Roundtable Discussio</w:t>
            </w:r>
            <w:r w:rsidR="006E74D0">
              <w:rPr>
                <w:b/>
              </w:rPr>
              <w:t>n:</w:t>
            </w:r>
            <w:r w:rsidRPr="00B738BA">
              <w:rPr>
                <w:b/>
              </w:rPr>
              <w:t xml:space="preserve"> MC12</w:t>
            </w:r>
            <w:r>
              <w:rPr>
                <w:b/>
              </w:rPr>
              <w:t xml:space="preserve"> and the Way Forward</w:t>
            </w:r>
          </w:p>
          <w:p w14:paraId="261BF662" w14:textId="77777777" w:rsidR="00B738BA" w:rsidRPr="002832C7" w:rsidRDefault="00B738BA" w:rsidP="00B738BA"/>
          <w:p w14:paraId="19C7D935" w14:textId="5FA498C3" w:rsidR="00B738BA" w:rsidRDefault="00B738BA" w:rsidP="00B738BA">
            <w:r>
              <w:t xml:space="preserve">Based on </w:t>
            </w:r>
            <w:proofErr w:type="gramStart"/>
            <w:r>
              <w:t>all of</w:t>
            </w:r>
            <w:proofErr w:type="gramEnd"/>
            <w:r>
              <w:t xml:space="preserve"> the updates provided during the workshop, this session will give participants the opportunity to provide the </w:t>
            </w:r>
            <w:r w:rsidR="006E74D0">
              <w:t xml:space="preserve">national and </w:t>
            </w:r>
            <w:r>
              <w:t>regional perspectives on MC12 and the Way Forward.</w:t>
            </w:r>
          </w:p>
          <w:p w14:paraId="22E4844C" w14:textId="77777777" w:rsidR="00B738BA" w:rsidRPr="002832C7" w:rsidRDefault="00B738BA" w:rsidP="00B738BA"/>
        </w:tc>
      </w:tr>
      <w:tr w:rsidR="00B738BA" w:rsidRPr="00BA3FF5" w14:paraId="6DE6E0D7" w14:textId="77777777" w:rsidTr="0031086A">
        <w:trPr>
          <w:jc w:val="center"/>
        </w:trPr>
        <w:tc>
          <w:tcPr>
            <w:tcW w:w="8206" w:type="dxa"/>
            <w:gridSpan w:val="2"/>
            <w:shd w:val="clear" w:color="auto" w:fill="95B3D7" w:themeFill="accent1" w:themeFillTint="99"/>
          </w:tcPr>
          <w:p w14:paraId="1F648249" w14:textId="77777777" w:rsidR="00B738BA" w:rsidRPr="002832C7" w:rsidRDefault="00B738BA" w:rsidP="00B738BA">
            <w:pPr>
              <w:jc w:val="center"/>
              <w:rPr>
                <w:b/>
              </w:rPr>
            </w:pPr>
            <w:r w:rsidRPr="002832C7">
              <w:rPr>
                <w:b/>
              </w:rPr>
              <w:t>Coffee Break</w:t>
            </w:r>
          </w:p>
        </w:tc>
      </w:tr>
      <w:tr w:rsidR="00B738BA" w:rsidRPr="006F4119" w14:paraId="03FCA61E" w14:textId="77777777" w:rsidTr="0031086A">
        <w:trPr>
          <w:jc w:val="center"/>
        </w:trPr>
        <w:tc>
          <w:tcPr>
            <w:tcW w:w="1555" w:type="dxa"/>
            <w:shd w:val="clear" w:color="auto" w:fill="DBE5F1" w:themeFill="accent1" w:themeFillTint="33"/>
            <w:vAlign w:val="center"/>
          </w:tcPr>
          <w:p w14:paraId="4D4C8C65" w14:textId="77777777" w:rsidR="00B738BA" w:rsidRPr="002832C7" w:rsidRDefault="00B738BA" w:rsidP="00B738BA">
            <w:pPr>
              <w:jc w:val="center"/>
            </w:pPr>
            <w:r w:rsidRPr="002832C7">
              <w:t>14h00-15h00</w:t>
            </w:r>
          </w:p>
        </w:tc>
        <w:tc>
          <w:tcPr>
            <w:tcW w:w="6651" w:type="dxa"/>
            <w:shd w:val="clear" w:color="auto" w:fill="DBE5F1" w:themeFill="accent1" w:themeFillTint="33"/>
          </w:tcPr>
          <w:p w14:paraId="0CB2D4F0" w14:textId="77777777" w:rsidR="00B738BA" w:rsidRPr="002832C7" w:rsidRDefault="00B738BA" w:rsidP="00B738BA"/>
          <w:p w14:paraId="439FB149" w14:textId="77777777" w:rsidR="00B738BA" w:rsidRPr="002832C7" w:rsidRDefault="00B738BA" w:rsidP="00B738BA">
            <w:pPr>
              <w:rPr>
                <w:b/>
              </w:rPr>
            </w:pPr>
            <w:r w:rsidRPr="002832C7">
              <w:rPr>
                <w:b/>
              </w:rPr>
              <w:t>Closing Session</w:t>
            </w:r>
          </w:p>
          <w:p w14:paraId="60611CE7" w14:textId="77777777" w:rsidR="00B738BA" w:rsidRPr="002832C7" w:rsidRDefault="00B738BA" w:rsidP="00B738BA">
            <w:pPr>
              <w:rPr>
                <w:b/>
              </w:rPr>
            </w:pPr>
          </w:p>
          <w:p w14:paraId="19FF0540" w14:textId="31C61C48" w:rsidR="001B08A3" w:rsidRDefault="001B08A3" w:rsidP="00B738BA">
            <w:pPr>
              <w:pStyle w:val="ListParagraph"/>
              <w:numPr>
                <w:ilvl w:val="0"/>
                <w:numId w:val="19"/>
              </w:numPr>
            </w:pPr>
            <w:r>
              <w:t>Evaluation</w:t>
            </w:r>
          </w:p>
          <w:p w14:paraId="089EAC87" w14:textId="513764A8" w:rsidR="00B738BA" w:rsidRPr="002832C7" w:rsidRDefault="00B738BA" w:rsidP="006E74D0">
            <w:pPr>
              <w:pStyle w:val="ListParagraph"/>
              <w:numPr>
                <w:ilvl w:val="0"/>
                <w:numId w:val="19"/>
              </w:numPr>
            </w:pPr>
            <w:r>
              <w:t xml:space="preserve">Closing Remarks </w:t>
            </w:r>
          </w:p>
          <w:p w14:paraId="4A4D6C04" w14:textId="4E9666D2" w:rsidR="00B738BA" w:rsidRPr="002832C7" w:rsidRDefault="00B738BA" w:rsidP="006E74D0">
            <w:pPr>
              <w:ind w:left="360"/>
            </w:pPr>
          </w:p>
          <w:p w14:paraId="1735BF68" w14:textId="77777777" w:rsidR="00B738BA" w:rsidRPr="002832C7" w:rsidRDefault="00B738BA" w:rsidP="00B738BA"/>
        </w:tc>
      </w:tr>
      <w:tr w:rsidR="00B738BA" w:rsidRPr="002832C7" w14:paraId="44A68279" w14:textId="77777777" w:rsidTr="0031086A">
        <w:trPr>
          <w:jc w:val="center"/>
        </w:trPr>
        <w:tc>
          <w:tcPr>
            <w:tcW w:w="8206" w:type="dxa"/>
            <w:gridSpan w:val="2"/>
            <w:shd w:val="clear" w:color="auto" w:fill="244061" w:themeFill="accent1" w:themeFillShade="80"/>
            <w:vAlign w:val="center"/>
          </w:tcPr>
          <w:p w14:paraId="0E7D7C42" w14:textId="77777777" w:rsidR="00B738BA" w:rsidRDefault="00B738BA" w:rsidP="00B738BA">
            <w:pPr>
              <w:jc w:val="center"/>
              <w:rPr>
                <w:b/>
              </w:rPr>
            </w:pPr>
          </w:p>
          <w:p w14:paraId="7F149BA8" w14:textId="77777777" w:rsidR="00B738BA" w:rsidRDefault="00B738BA" w:rsidP="00B738BA">
            <w:pPr>
              <w:jc w:val="center"/>
              <w:rPr>
                <w:b/>
              </w:rPr>
            </w:pPr>
            <w:r w:rsidRPr="002832C7">
              <w:rPr>
                <w:b/>
              </w:rPr>
              <w:t>End of the Workshop</w:t>
            </w:r>
          </w:p>
          <w:p w14:paraId="54A47843" w14:textId="77777777" w:rsidR="00B738BA" w:rsidRPr="002832C7" w:rsidRDefault="00B738BA" w:rsidP="00B738BA">
            <w:pPr>
              <w:jc w:val="center"/>
              <w:rPr>
                <w:b/>
              </w:rPr>
            </w:pPr>
          </w:p>
        </w:tc>
      </w:tr>
      <w:bookmarkEnd w:id="2"/>
    </w:tbl>
    <w:p w14:paraId="42E83785" w14:textId="77777777" w:rsidR="0043388B" w:rsidRPr="002832C7" w:rsidRDefault="0043388B" w:rsidP="00582928">
      <w:pPr>
        <w:rPr>
          <w:b/>
        </w:rPr>
      </w:pPr>
    </w:p>
    <w:sectPr w:rsidR="0043388B" w:rsidRPr="002832C7" w:rsidSect="00A670A4">
      <w:headerReference w:type="default" r:id="rId8"/>
      <w:footerReference w:type="default" r:id="rId9"/>
      <w:pgSz w:w="11906" w:h="16838" w:code="9"/>
      <w:pgMar w:top="1260" w:right="1440" w:bottom="1440" w:left="1440" w:header="2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CADD2" w14:textId="77777777" w:rsidR="003B4292" w:rsidRDefault="003B4292" w:rsidP="00ED54E0">
      <w:r>
        <w:separator/>
      </w:r>
    </w:p>
  </w:endnote>
  <w:endnote w:type="continuationSeparator" w:id="0">
    <w:p w14:paraId="0B999139" w14:textId="77777777" w:rsidR="003B4292" w:rsidRDefault="003B429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870767"/>
      <w:docPartObj>
        <w:docPartGallery w:val="Page Numbers (Bottom of Page)"/>
        <w:docPartUnique/>
      </w:docPartObj>
    </w:sdtPr>
    <w:sdtEndPr/>
    <w:sdtContent>
      <w:sdt>
        <w:sdtPr>
          <w:id w:val="1160731851"/>
          <w:docPartObj>
            <w:docPartGallery w:val="Page Numbers (Top of Page)"/>
            <w:docPartUnique/>
          </w:docPartObj>
        </w:sdtPr>
        <w:sdtEndPr/>
        <w:sdtContent>
          <w:p w14:paraId="5D55EB87" w14:textId="77777777" w:rsidR="0045096C" w:rsidRDefault="004509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399380" w14:textId="77777777" w:rsidR="0045096C" w:rsidRDefault="00450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61AF" w14:textId="77777777" w:rsidR="003B4292" w:rsidRDefault="003B4292" w:rsidP="00ED54E0">
      <w:r>
        <w:separator/>
      </w:r>
    </w:p>
  </w:footnote>
  <w:footnote w:type="continuationSeparator" w:id="0">
    <w:p w14:paraId="686262B3" w14:textId="77777777" w:rsidR="003B4292" w:rsidRDefault="003B429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6C69" w14:textId="77777777" w:rsidR="00EC1D79" w:rsidRDefault="00EC1D79" w:rsidP="00EC1D79">
    <w:pPr>
      <w:pStyle w:val="Header"/>
      <w:tabs>
        <w:tab w:val="left" w:pos="7200"/>
      </w:tabs>
    </w:pPr>
  </w:p>
  <w:p w14:paraId="34AEE4CB" w14:textId="451441F9" w:rsidR="00644DC2" w:rsidRDefault="00EC1D79" w:rsidP="00EC1D79">
    <w:pPr>
      <w:pStyle w:val="Header"/>
      <w:tabs>
        <w:tab w:val="left" w:pos="7200"/>
      </w:tabs>
      <w:jc w:val="center"/>
    </w:pPr>
    <w:r>
      <w:rPr>
        <w:noProof/>
      </w:rPr>
      <w:drawing>
        <wp:inline distT="0" distB="0" distL="0" distR="0" wp14:anchorId="18E744A9" wp14:editId="7B41BDDD">
          <wp:extent cx="2038350" cy="533400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8C01E9" w14:textId="77777777" w:rsidR="00EC1D79" w:rsidRDefault="00EC1D79" w:rsidP="00EC1D79">
    <w:pPr>
      <w:pStyle w:val="Header"/>
      <w:tabs>
        <w:tab w:val="left" w:pos="7200"/>
      </w:tabs>
      <w:jc w:val="center"/>
    </w:pPr>
  </w:p>
  <w:p w14:paraId="7A320A07" w14:textId="77777777" w:rsidR="00EC1D79" w:rsidRDefault="00EC1D79" w:rsidP="00EC1D79">
    <w:pPr>
      <w:pStyle w:val="Header"/>
      <w:tabs>
        <w:tab w:val="left" w:pos="72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0E0E"/>
    <w:multiLevelType w:val="hybridMultilevel"/>
    <w:tmpl w:val="B886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F57425"/>
    <w:multiLevelType w:val="hybridMultilevel"/>
    <w:tmpl w:val="17BA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A4"/>
    <w:rsid w:val="000106E0"/>
    <w:rsid w:val="000111BB"/>
    <w:rsid w:val="00022C0F"/>
    <w:rsid w:val="000262D7"/>
    <w:rsid w:val="000272F6"/>
    <w:rsid w:val="00037AC4"/>
    <w:rsid w:val="000423BF"/>
    <w:rsid w:val="00052A04"/>
    <w:rsid w:val="000A4945"/>
    <w:rsid w:val="000B31E1"/>
    <w:rsid w:val="000C39B7"/>
    <w:rsid w:val="000D1CC4"/>
    <w:rsid w:val="000E2BF0"/>
    <w:rsid w:val="0011235C"/>
    <w:rsid w:val="0011356B"/>
    <w:rsid w:val="0013337F"/>
    <w:rsid w:val="001527E1"/>
    <w:rsid w:val="00174486"/>
    <w:rsid w:val="00182B84"/>
    <w:rsid w:val="001946F2"/>
    <w:rsid w:val="001B08A3"/>
    <w:rsid w:val="001D0F5C"/>
    <w:rsid w:val="001E291F"/>
    <w:rsid w:val="001F695D"/>
    <w:rsid w:val="001F7D95"/>
    <w:rsid w:val="00212834"/>
    <w:rsid w:val="00233408"/>
    <w:rsid w:val="00237417"/>
    <w:rsid w:val="0027067B"/>
    <w:rsid w:val="0028162A"/>
    <w:rsid w:val="002832C7"/>
    <w:rsid w:val="002944C5"/>
    <w:rsid w:val="002A15FB"/>
    <w:rsid w:val="002A6940"/>
    <w:rsid w:val="002A6E70"/>
    <w:rsid w:val="002B72B6"/>
    <w:rsid w:val="002C0FBB"/>
    <w:rsid w:val="002E249B"/>
    <w:rsid w:val="002F5BA3"/>
    <w:rsid w:val="003012F3"/>
    <w:rsid w:val="00304096"/>
    <w:rsid w:val="00304385"/>
    <w:rsid w:val="0031086A"/>
    <w:rsid w:val="00311BE2"/>
    <w:rsid w:val="00320249"/>
    <w:rsid w:val="00335359"/>
    <w:rsid w:val="00335D68"/>
    <w:rsid w:val="003572B4"/>
    <w:rsid w:val="003616BF"/>
    <w:rsid w:val="00362C41"/>
    <w:rsid w:val="00371F2B"/>
    <w:rsid w:val="00383F10"/>
    <w:rsid w:val="003B4292"/>
    <w:rsid w:val="003D754A"/>
    <w:rsid w:val="0040309A"/>
    <w:rsid w:val="00414376"/>
    <w:rsid w:val="0043388B"/>
    <w:rsid w:val="004504C0"/>
    <w:rsid w:val="0045096C"/>
    <w:rsid w:val="004551EC"/>
    <w:rsid w:val="00467032"/>
    <w:rsid w:val="0046754A"/>
    <w:rsid w:val="00476074"/>
    <w:rsid w:val="004807E9"/>
    <w:rsid w:val="00493DCC"/>
    <w:rsid w:val="004A2D89"/>
    <w:rsid w:val="004A31FF"/>
    <w:rsid w:val="004F203A"/>
    <w:rsid w:val="00512FF5"/>
    <w:rsid w:val="005336B8"/>
    <w:rsid w:val="00563B44"/>
    <w:rsid w:val="00582928"/>
    <w:rsid w:val="00585D14"/>
    <w:rsid w:val="005B04B9"/>
    <w:rsid w:val="005B68C7"/>
    <w:rsid w:val="005B7054"/>
    <w:rsid w:val="005C35E5"/>
    <w:rsid w:val="005D0152"/>
    <w:rsid w:val="005D5981"/>
    <w:rsid w:val="005E44B0"/>
    <w:rsid w:val="005F0A08"/>
    <w:rsid w:val="005F30CB"/>
    <w:rsid w:val="005F32D0"/>
    <w:rsid w:val="006015B5"/>
    <w:rsid w:val="00612644"/>
    <w:rsid w:val="00644DC2"/>
    <w:rsid w:val="006603A4"/>
    <w:rsid w:val="00674CCD"/>
    <w:rsid w:val="006A18DC"/>
    <w:rsid w:val="006A5E5A"/>
    <w:rsid w:val="006C5799"/>
    <w:rsid w:val="006D6742"/>
    <w:rsid w:val="006E3654"/>
    <w:rsid w:val="006E74D0"/>
    <w:rsid w:val="006F5826"/>
    <w:rsid w:val="00700181"/>
    <w:rsid w:val="007141CF"/>
    <w:rsid w:val="00723456"/>
    <w:rsid w:val="007422FC"/>
    <w:rsid w:val="00745146"/>
    <w:rsid w:val="0074635B"/>
    <w:rsid w:val="007577E3"/>
    <w:rsid w:val="00760DB3"/>
    <w:rsid w:val="00767204"/>
    <w:rsid w:val="00767D21"/>
    <w:rsid w:val="00772748"/>
    <w:rsid w:val="007A0A36"/>
    <w:rsid w:val="007A4954"/>
    <w:rsid w:val="007A4CDA"/>
    <w:rsid w:val="007A4F6E"/>
    <w:rsid w:val="007C79F0"/>
    <w:rsid w:val="007D668B"/>
    <w:rsid w:val="007E6507"/>
    <w:rsid w:val="007F2B8E"/>
    <w:rsid w:val="007F2DB0"/>
    <w:rsid w:val="00801CBB"/>
    <w:rsid w:val="00807247"/>
    <w:rsid w:val="00840C2B"/>
    <w:rsid w:val="00850889"/>
    <w:rsid w:val="00864445"/>
    <w:rsid w:val="008738BC"/>
    <w:rsid w:val="008739FD"/>
    <w:rsid w:val="008A7BB6"/>
    <w:rsid w:val="008B5E42"/>
    <w:rsid w:val="008B6520"/>
    <w:rsid w:val="008E372C"/>
    <w:rsid w:val="00920FD4"/>
    <w:rsid w:val="00947C09"/>
    <w:rsid w:val="00984F1E"/>
    <w:rsid w:val="00992D41"/>
    <w:rsid w:val="009A6F54"/>
    <w:rsid w:val="009A7E67"/>
    <w:rsid w:val="009B0823"/>
    <w:rsid w:val="00A44D2D"/>
    <w:rsid w:val="00A53DCE"/>
    <w:rsid w:val="00A6057A"/>
    <w:rsid w:val="00A670A4"/>
    <w:rsid w:val="00A74017"/>
    <w:rsid w:val="00A82F84"/>
    <w:rsid w:val="00A97A1E"/>
    <w:rsid w:val="00AA332C"/>
    <w:rsid w:val="00AB2B15"/>
    <w:rsid w:val="00AC2446"/>
    <w:rsid w:val="00AC24C7"/>
    <w:rsid w:val="00AC27F8"/>
    <w:rsid w:val="00AC74D0"/>
    <w:rsid w:val="00AD4C72"/>
    <w:rsid w:val="00AE20ED"/>
    <w:rsid w:val="00AE2AEE"/>
    <w:rsid w:val="00AF36B6"/>
    <w:rsid w:val="00B1394B"/>
    <w:rsid w:val="00B17E32"/>
    <w:rsid w:val="00B230EC"/>
    <w:rsid w:val="00B33689"/>
    <w:rsid w:val="00B50DC4"/>
    <w:rsid w:val="00B53AFD"/>
    <w:rsid w:val="00B56EDC"/>
    <w:rsid w:val="00B67C16"/>
    <w:rsid w:val="00B738BA"/>
    <w:rsid w:val="00B75561"/>
    <w:rsid w:val="00BA3FF5"/>
    <w:rsid w:val="00BB1F84"/>
    <w:rsid w:val="00BC5C33"/>
    <w:rsid w:val="00BE5468"/>
    <w:rsid w:val="00BF1E59"/>
    <w:rsid w:val="00BF4A16"/>
    <w:rsid w:val="00C072A0"/>
    <w:rsid w:val="00C10840"/>
    <w:rsid w:val="00C11EAC"/>
    <w:rsid w:val="00C21CCF"/>
    <w:rsid w:val="00C24CA4"/>
    <w:rsid w:val="00C305D7"/>
    <w:rsid w:val="00C30F2A"/>
    <w:rsid w:val="00C43456"/>
    <w:rsid w:val="00C5109E"/>
    <w:rsid w:val="00C568FA"/>
    <w:rsid w:val="00C65C0C"/>
    <w:rsid w:val="00C808FC"/>
    <w:rsid w:val="00C933F6"/>
    <w:rsid w:val="00CA4066"/>
    <w:rsid w:val="00CC5DCA"/>
    <w:rsid w:val="00CD0A70"/>
    <w:rsid w:val="00CD25AE"/>
    <w:rsid w:val="00CD7D97"/>
    <w:rsid w:val="00CE3EE6"/>
    <w:rsid w:val="00CE4BA1"/>
    <w:rsid w:val="00D000C7"/>
    <w:rsid w:val="00D260C0"/>
    <w:rsid w:val="00D52A9D"/>
    <w:rsid w:val="00D55AAD"/>
    <w:rsid w:val="00D747AE"/>
    <w:rsid w:val="00D765E6"/>
    <w:rsid w:val="00D9226C"/>
    <w:rsid w:val="00DA20BD"/>
    <w:rsid w:val="00DE50DB"/>
    <w:rsid w:val="00DF5A67"/>
    <w:rsid w:val="00DF6AE1"/>
    <w:rsid w:val="00E4345D"/>
    <w:rsid w:val="00E444FB"/>
    <w:rsid w:val="00E46FD5"/>
    <w:rsid w:val="00E51679"/>
    <w:rsid w:val="00E544BB"/>
    <w:rsid w:val="00E56545"/>
    <w:rsid w:val="00E63326"/>
    <w:rsid w:val="00E85004"/>
    <w:rsid w:val="00EA5799"/>
    <w:rsid w:val="00EA5D4F"/>
    <w:rsid w:val="00EB6C56"/>
    <w:rsid w:val="00EB6F21"/>
    <w:rsid w:val="00EC1D79"/>
    <w:rsid w:val="00ED520C"/>
    <w:rsid w:val="00ED54E0"/>
    <w:rsid w:val="00F018FD"/>
    <w:rsid w:val="00F01C13"/>
    <w:rsid w:val="00F32397"/>
    <w:rsid w:val="00F40595"/>
    <w:rsid w:val="00F64256"/>
    <w:rsid w:val="00FA3539"/>
    <w:rsid w:val="00FA5EBC"/>
    <w:rsid w:val="00FC16D0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C124C"/>
  <w15:chartTrackingRefBased/>
  <w15:docId w15:val="{06D93DC8-CDCF-4D35-BEEB-5C1932E6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3A4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2920-CD44-487D-969A-316198E7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C-TNC</dc:creator>
  <cp:keywords/>
  <dc:description/>
  <cp:lastModifiedBy>Celestin-Champlong, Isabelle</cp:lastModifiedBy>
  <cp:revision>2</cp:revision>
  <cp:lastPrinted>2019-06-26T14:15:00Z</cp:lastPrinted>
  <dcterms:created xsi:type="dcterms:W3CDTF">2020-01-09T10:51:00Z</dcterms:created>
  <dcterms:modified xsi:type="dcterms:W3CDTF">2020-01-09T10:51:00Z</dcterms:modified>
</cp:coreProperties>
</file>