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609" w:rsidRDefault="00240298" w:rsidP="000168AA">
      <w:pPr>
        <w:jc w:val="center"/>
        <w:rPr>
          <w:rFonts w:ascii="Verdana" w:hAnsi="Verdana"/>
          <w:sz w:val="32"/>
          <w:szCs w:val="28"/>
        </w:rPr>
      </w:pPr>
      <w:r>
        <w:rPr>
          <w:rFonts w:ascii="Verdana" w:hAnsi="Verdana"/>
          <w:sz w:val="32"/>
          <w:szCs w:val="28"/>
        </w:rPr>
        <w:tab/>
      </w:r>
      <w:r>
        <w:rPr>
          <w:rFonts w:ascii="Verdana" w:hAnsi="Verdana"/>
          <w:sz w:val="32"/>
          <w:szCs w:val="28"/>
        </w:rPr>
        <w:tab/>
      </w:r>
      <w:r>
        <w:rPr>
          <w:rFonts w:ascii="Verdana" w:hAnsi="Verdana"/>
          <w:sz w:val="32"/>
          <w:szCs w:val="28"/>
        </w:rPr>
        <w:tab/>
      </w:r>
      <w:r>
        <w:rPr>
          <w:rFonts w:ascii="Verdana" w:hAnsi="Verdana"/>
          <w:sz w:val="32"/>
          <w:szCs w:val="28"/>
        </w:rPr>
        <w:tab/>
      </w:r>
      <w:r>
        <w:rPr>
          <w:rFonts w:ascii="Verdana" w:hAnsi="Verdana"/>
          <w:sz w:val="32"/>
          <w:szCs w:val="28"/>
        </w:rPr>
        <w:tab/>
      </w:r>
      <w:r>
        <w:rPr>
          <w:rFonts w:ascii="Verdana" w:hAnsi="Verdana"/>
          <w:sz w:val="32"/>
          <w:szCs w:val="28"/>
        </w:rPr>
        <w:tab/>
      </w:r>
      <w:r>
        <w:rPr>
          <w:rFonts w:ascii="Verdana" w:hAnsi="Verdana"/>
          <w:sz w:val="32"/>
          <w:szCs w:val="28"/>
        </w:rPr>
        <w:tab/>
      </w:r>
      <w:r>
        <w:rPr>
          <w:rFonts w:ascii="Verdana" w:hAnsi="Verdana"/>
          <w:sz w:val="32"/>
          <w:szCs w:val="28"/>
        </w:rPr>
        <w:tab/>
      </w:r>
      <w:r>
        <w:rPr>
          <w:rFonts w:ascii="Verdana" w:hAnsi="Verdana"/>
          <w:sz w:val="32"/>
          <w:szCs w:val="28"/>
        </w:rPr>
        <w:tab/>
      </w:r>
    </w:p>
    <w:p w:rsidR="00240298" w:rsidRDefault="00240298" w:rsidP="000168AA">
      <w:pPr>
        <w:jc w:val="center"/>
        <w:rPr>
          <w:rFonts w:ascii="Verdana" w:hAnsi="Verdana"/>
          <w:sz w:val="32"/>
          <w:szCs w:val="28"/>
        </w:rPr>
      </w:pPr>
    </w:p>
    <w:p w:rsidR="00240298" w:rsidRPr="00527B7B" w:rsidRDefault="00240298" w:rsidP="000168AA">
      <w:pPr>
        <w:jc w:val="center"/>
        <w:rPr>
          <w:b/>
          <w:smallCaps/>
          <w:sz w:val="28"/>
          <w:szCs w:val="28"/>
        </w:rPr>
      </w:pPr>
    </w:p>
    <w:p w:rsidR="00FF5D9B" w:rsidRDefault="001F1F89" w:rsidP="00FF5D9B">
      <w:pPr>
        <w:pStyle w:val="Header"/>
        <w:jc w:val="center"/>
      </w:pPr>
      <w:r w:rsidRPr="005F2D83">
        <w:rPr>
          <w:noProof/>
        </w:rPr>
        <w:drawing>
          <wp:inline distT="0" distB="0" distL="0" distR="0">
            <wp:extent cx="3219450" cy="9525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609" w:rsidRPr="00527B7B" w:rsidRDefault="00E57609" w:rsidP="000168AA">
      <w:pPr>
        <w:jc w:val="center"/>
        <w:rPr>
          <w:b/>
          <w:smallCaps/>
          <w:sz w:val="28"/>
          <w:szCs w:val="28"/>
        </w:rPr>
      </w:pPr>
    </w:p>
    <w:p w:rsidR="00E57609" w:rsidRPr="00527B7B" w:rsidRDefault="00E57609" w:rsidP="000168AA">
      <w:pPr>
        <w:jc w:val="center"/>
        <w:rPr>
          <w:b/>
          <w:smallCaps/>
          <w:sz w:val="28"/>
          <w:szCs w:val="28"/>
        </w:rPr>
      </w:pPr>
    </w:p>
    <w:p w:rsidR="00417BCB" w:rsidRDefault="00417BCB" w:rsidP="00D13D9B">
      <w:pPr>
        <w:pStyle w:val="Title"/>
        <w:rPr>
          <w:rFonts w:ascii="Verdana" w:hAnsi="Verdana"/>
        </w:rPr>
      </w:pPr>
    </w:p>
    <w:p w:rsidR="00417BCB" w:rsidRDefault="00417BCB" w:rsidP="00D13D9B">
      <w:pPr>
        <w:pStyle w:val="Title"/>
        <w:rPr>
          <w:rFonts w:ascii="Verdana" w:hAnsi="Verdana"/>
        </w:rPr>
      </w:pPr>
    </w:p>
    <w:p w:rsidR="00417BCB" w:rsidRDefault="00417BCB" w:rsidP="00D13D9B">
      <w:pPr>
        <w:pStyle w:val="Title"/>
        <w:rPr>
          <w:rFonts w:ascii="Verdana" w:hAnsi="Verdana"/>
        </w:rPr>
      </w:pPr>
    </w:p>
    <w:p w:rsidR="00417BCB" w:rsidRDefault="00417BCB" w:rsidP="00D13D9B">
      <w:pPr>
        <w:pStyle w:val="Title"/>
        <w:rPr>
          <w:rFonts w:ascii="Verdana" w:hAnsi="Verdana"/>
        </w:rPr>
      </w:pPr>
    </w:p>
    <w:p w:rsidR="00417BCB" w:rsidRDefault="00417BCB" w:rsidP="00D13D9B">
      <w:pPr>
        <w:pStyle w:val="Title"/>
        <w:rPr>
          <w:rFonts w:ascii="Verdana" w:hAnsi="Verdana"/>
        </w:rPr>
      </w:pPr>
    </w:p>
    <w:p w:rsidR="00417BCB" w:rsidRDefault="00417BCB" w:rsidP="00D13D9B">
      <w:pPr>
        <w:pStyle w:val="Title"/>
        <w:rPr>
          <w:rFonts w:ascii="Verdana" w:hAnsi="Verdana"/>
        </w:rPr>
      </w:pPr>
    </w:p>
    <w:p w:rsidR="00417BCB" w:rsidRDefault="00417BCB" w:rsidP="00D13D9B">
      <w:pPr>
        <w:pStyle w:val="Title"/>
        <w:rPr>
          <w:rFonts w:ascii="Verdana" w:hAnsi="Verdana"/>
        </w:rPr>
      </w:pPr>
    </w:p>
    <w:p w:rsidR="00417BCB" w:rsidRDefault="00417BCB" w:rsidP="00D13D9B">
      <w:pPr>
        <w:pStyle w:val="Title"/>
        <w:rPr>
          <w:rFonts w:ascii="Verdana" w:hAnsi="Verdana"/>
        </w:rPr>
      </w:pPr>
    </w:p>
    <w:p w:rsidR="00417BCB" w:rsidRDefault="00417BCB" w:rsidP="00D13D9B">
      <w:pPr>
        <w:pStyle w:val="Title"/>
        <w:rPr>
          <w:rFonts w:ascii="Verdana" w:hAnsi="Verdana"/>
        </w:rPr>
      </w:pPr>
    </w:p>
    <w:p w:rsidR="00417BCB" w:rsidRDefault="00417BCB" w:rsidP="00D13D9B">
      <w:pPr>
        <w:pStyle w:val="Title"/>
        <w:rPr>
          <w:rFonts w:ascii="Verdana" w:hAnsi="Verdana"/>
        </w:rPr>
      </w:pPr>
    </w:p>
    <w:p w:rsidR="00417BCB" w:rsidRDefault="00417BCB" w:rsidP="00D13D9B">
      <w:pPr>
        <w:pStyle w:val="Title"/>
        <w:rPr>
          <w:rFonts w:ascii="Verdana" w:hAnsi="Verdana"/>
        </w:rPr>
      </w:pPr>
    </w:p>
    <w:p w:rsidR="00417BCB" w:rsidRDefault="00417BCB" w:rsidP="00D13D9B">
      <w:pPr>
        <w:pStyle w:val="Title"/>
        <w:rPr>
          <w:rFonts w:ascii="Verdana" w:hAnsi="Verdana"/>
        </w:rPr>
      </w:pPr>
    </w:p>
    <w:p w:rsidR="00807B33" w:rsidRDefault="00417BCB" w:rsidP="00807B33">
      <w:pPr>
        <w:pStyle w:val="Title"/>
        <w:rPr>
          <w:rFonts w:ascii="Verdana" w:hAnsi="Verdana"/>
          <w:sz w:val="32"/>
          <w:szCs w:val="32"/>
        </w:rPr>
      </w:pPr>
      <w:r w:rsidRPr="00417BCB">
        <w:rPr>
          <w:rFonts w:ascii="Verdana" w:hAnsi="Verdana"/>
          <w:sz w:val="32"/>
          <w:szCs w:val="32"/>
        </w:rPr>
        <w:t xml:space="preserve">National seminar on </w:t>
      </w:r>
      <w:r w:rsidR="00807B33">
        <w:rPr>
          <w:rFonts w:ascii="Verdana" w:hAnsi="Verdana"/>
          <w:sz w:val="32"/>
          <w:szCs w:val="32"/>
        </w:rPr>
        <w:t xml:space="preserve">the WTO </w:t>
      </w:r>
    </w:p>
    <w:p w:rsidR="00417BCB" w:rsidRPr="00417BCB" w:rsidRDefault="00807B33" w:rsidP="00807B33">
      <w:pPr>
        <w:pStyle w:val="Title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TBT Agreement's</w:t>
      </w:r>
      <w:r w:rsidR="00417BCB" w:rsidRPr="00417BCB">
        <w:rPr>
          <w:rFonts w:ascii="Verdana" w:hAnsi="Verdana"/>
          <w:sz w:val="32"/>
          <w:szCs w:val="32"/>
        </w:rPr>
        <w:t xml:space="preserve"> </w:t>
      </w:r>
    </w:p>
    <w:p w:rsidR="000168AA" w:rsidRPr="00417BCB" w:rsidRDefault="00417BCB" w:rsidP="00D13D9B">
      <w:pPr>
        <w:pStyle w:val="Title"/>
        <w:rPr>
          <w:rFonts w:ascii="Verdana" w:hAnsi="Verdana"/>
          <w:sz w:val="32"/>
          <w:szCs w:val="32"/>
        </w:rPr>
      </w:pPr>
      <w:r w:rsidRPr="00417BCB">
        <w:rPr>
          <w:rFonts w:ascii="Verdana" w:hAnsi="Verdana"/>
          <w:sz w:val="32"/>
          <w:szCs w:val="32"/>
        </w:rPr>
        <w:t>transparency framework</w:t>
      </w:r>
    </w:p>
    <w:p w:rsidR="00417BCB" w:rsidRDefault="00417BCB" w:rsidP="00417BCB">
      <w:pPr>
        <w:pStyle w:val="Title2"/>
        <w:jc w:val="both"/>
        <w:rPr>
          <w:rFonts w:ascii="Verdana" w:hAnsi="Verdana"/>
          <w:sz w:val="28"/>
          <w:szCs w:val="28"/>
          <w:u w:val="none"/>
        </w:rPr>
      </w:pPr>
    </w:p>
    <w:p w:rsidR="00417BCB" w:rsidRDefault="00417BCB" w:rsidP="00417BCB">
      <w:pPr>
        <w:pStyle w:val="Title2"/>
        <w:rPr>
          <w:rFonts w:ascii="Verdana" w:hAnsi="Verdana"/>
          <w:sz w:val="28"/>
          <w:szCs w:val="28"/>
          <w:u w:val="none"/>
        </w:rPr>
      </w:pPr>
    </w:p>
    <w:p w:rsidR="00417BCB" w:rsidRDefault="00417BCB" w:rsidP="00417BCB">
      <w:pPr>
        <w:pStyle w:val="Title2"/>
        <w:rPr>
          <w:rFonts w:ascii="Verdana" w:hAnsi="Verdana"/>
          <w:sz w:val="28"/>
          <w:szCs w:val="28"/>
          <w:u w:val="none"/>
        </w:rPr>
      </w:pPr>
    </w:p>
    <w:p w:rsidR="00417BCB" w:rsidRPr="00417BCB" w:rsidRDefault="00417BCB" w:rsidP="00417BCB">
      <w:pPr>
        <w:pStyle w:val="Title2"/>
        <w:rPr>
          <w:rFonts w:ascii="Verdana" w:hAnsi="Verdana"/>
          <w:sz w:val="28"/>
          <w:szCs w:val="28"/>
          <w:u w:val="none"/>
        </w:rPr>
      </w:pPr>
      <w:r w:rsidRPr="00417BCB">
        <w:rPr>
          <w:rFonts w:ascii="Verdana" w:hAnsi="Verdana"/>
          <w:sz w:val="28"/>
          <w:szCs w:val="28"/>
          <w:u w:val="none"/>
        </w:rPr>
        <w:t>Pretoria, South Africa</w:t>
      </w:r>
    </w:p>
    <w:p w:rsidR="00417BCB" w:rsidRPr="00417BCB" w:rsidRDefault="006D7A5C" w:rsidP="00761AFA">
      <w:pPr>
        <w:pStyle w:val="Title2"/>
        <w:rPr>
          <w:rFonts w:ascii="Verdana" w:hAnsi="Verdana"/>
          <w:sz w:val="28"/>
          <w:szCs w:val="28"/>
          <w:u w:val="none"/>
        </w:rPr>
      </w:pPr>
      <w:r>
        <w:rPr>
          <w:rFonts w:ascii="Verdana" w:hAnsi="Verdana"/>
          <w:sz w:val="28"/>
          <w:szCs w:val="28"/>
          <w:highlight w:val="yellow"/>
          <w:u w:val="none"/>
        </w:rPr>
        <w:t>24-26 March</w:t>
      </w:r>
      <w:r w:rsidR="00417BCB" w:rsidRPr="006D7A5C">
        <w:rPr>
          <w:rFonts w:ascii="Verdana" w:hAnsi="Verdana"/>
          <w:sz w:val="28"/>
          <w:szCs w:val="28"/>
          <w:highlight w:val="yellow"/>
          <w:u w:val="none"/>
        </w:rPr>
        <w:t xml:space="preserve"> 2020</w:t>
      </w:r>
    </w:p>
    <w:p w:rsidR="00417BCB" w:rsidRDefault="00417BCB" w:rsidP="00761AFA">
      <w:pPr>
        <w:pStyle w:val="Title2"/>
        <w:rPr>
          <w:rFonts w:ascii="Verdana" w:hAnsi="Verdana"/>
        </w:rPr>
      </w:pPr>
    </w:p>
    <w:p w:rsidR="00417BCB" w:rsidRDefault="00417BCB" w:rsidP="00761AFA">
      <w:pPr>
        <w:pStyle w:val="Title2"/>
        <w:rPr>
          <w:rFonts w:ascii="Verdana" w:hAnsi="Verdana"/>
        </w:rPr>
      </w:pPr>
    </w:p>
    <w:p w:rsidR="00417BCB" w:rsidRDefault="00417BCB" w:rsidP="00761AFA">
      <w:pPr>
        <w:pStyle w:val="Title2"/>
        <w:rPr>
          <w:rFonts w:ascii="Verdana" w:hAnsi="Verdana"/>
        </w:rPr>
      </w:pPr>
    </w:p>
    <w:p w:rsidR="00417BCB" w:rsidRDefault="00417BCB" w:rsidP="00761AFA">
      <w:pPr>
        <w:pStyle w:val="Title2"/>
        <w:rPr>
          <w:rFonts w:ascii="Verdana" w:hAnsi="Verdana"/>
        </w:rPr>
      </w:pPr>
    </w:p>
    <w:p w:rsidR="00E57609" w:rsidRPr="00417BCB" w:rsidRDefault="00417BCB" w:rsidP="00761AFA">
      <w:pPr>
        <w:pStyle w:val="Title2"/>
        <w:rPr>
          <w:rFonts w:ascii="Verdana" w:hAnsi="Verdana"/>
          <w:sz w:val="28"/>
          <w:szCs w:val="28"/>
          <w:u w:val="none"/>
        </w:rPr>
      </w:pPr>
      <w:r w:rsidRPr="00417BCB">
        <w:rPr>
          <w:rFonts w:ascii="Verdana" w:hAnsi="Verdana"/>
          <w:sz w:val="28"/>
          <w:szCs w:val="28"/>
          <w:u w:val="none"/>
        </w:rPr>
        <w:t>Draft programme</w:t>
      </w:r>
    </w:p>
    <w:p w:rsidR="00E57609" w:rsidRPr="005D2FA2" w:rsidRDefault="00E57609" w:rsidP="000168AA">
      <w:pPr>
        <w:jc w:val="center"/>
        <w:rPr>
          <w:rFonts w:ascii="Verdana" w:hAnsi="Verdana"/>
          <w:sz w:val="28"/>
          <w:szCs w:val="28"/>
        </w:rPr>
      </w:pPr>
    </w:p>
    <w:p w:rsidR="00E57609" w:rsidRPr="005D2FA2" w:rsidRDefault="00E57609" w:rsidP="000168AA">
      <w:pPr>
        <w:jc w:val="center"/>
        <w:rPr>
          <w:rFonts w:ascii="Verdana" w:hAnsi="Verdana"/>
          <w:sz w:val="28"/>
          <w:szCs w:val="28"/>
        </w:rPr>
      </w:pPr>
    </w:p>
    <w:p w:rsidR="00B20949" w:rsidRPr="005D2FA2" w:rsidRDefault="00B20949" w:rsidP="000168AA">
      <w:pPr>
        <w:jc w:val="center"/>
        <w:rPr>
          <w:rFonts w:ascii="Verdana" w:hAnsi="Verdana"/>
          <w:sz w:val="28"/>
          <w:szCs w:val="28"/>
        </w:rPr>
      </w:pPr>
    </w:p>
    <w:p w:rsidR="00B20949" w:rsidRPr="005D2FA2" w:rsidRDefault="00B20949" w:rsidP="000168AA">
      <w:pPr>
        <w:jc w:val="center"/>
        <w:rPr>
          <w:rFonts w:ascii="Verdana" w:hAnsi="Verdana"/>
          <w:sz w:val="28"/>
          <w:szCs w:val="28"/>
        </w:rPr>
      </w:pPr>
    </w:p>
    <w:p w:rsidR="000168AA" w:rsidRPr="005D2FA2" w:rsidRDefault="000168AA" w:rsidP="00417BCB">
      <w:pPr>
        <w:rPr>
          <w:rFonts w:ascii="Verdana" w:hAnsi="Verdana"/>
          <w:b/>
          <w:sz w:val="28"/>
          <w:szCs w:val="28"/>
          <w:u w:val="single"/>
        </w:rPr>
      </w:pPr>
    </w:p>
    <w:p w:rsidR="000168AA" w:rsidRPr="00527B7B" w:rsidRDefault="000168AA" w:rsidP="000168AA">
      <w:pPr>
        <w:rPr>
          <w:sz w:val="28"/>
          <w:szCs w:val="28"/>
        </w:rPr>
      </w:pPr>
    </w:p>
    <w:p w:rsidR="000168AA" w:rsidRPr="00527B7B" w:rsidRDefault="000168AA" w:rsidP="000168AA">
      <w:pPr>
        <w:jc w:val="center"/>
        <w:rPr>
          <w:szCs w:val="22"/>
        </w:rPr>
      </w:pPr>
    </w:p>
    <w:p w:rsidR="00E57609" w:rsidRDefault="00E57609" w:rsidP="000168AA">
      <w:pPr>
        <w:rPr>
          <w:szCs w:val="22"/>
        </w:rPr>
      </w:pPr>
    </w:p>
    <w:p w:rsidR="00240298" w:rsidRDefault="00240298" w:rsidP="000168AA">
      <w:pPr>
        <w:rPr>
          <w:szCs w:val="22"/>
        </w:rPr>
      </w:pPr>
    </w:p>
    <w:p w:rsidR="00240298" w:rsidRDefault="00240298" w:rsidP="000168AA">
      <w:pPr>
        <w:rPr>
          <w:szCs w:val="22"/>
        </w:rPr>
      </w:pPr>
    </w:p>
    <w:p w:rsidR="00240298" w:rsidRDefault="00240298" w:rsidP="000168AA">
      <w:pPr>
        <w:rPr>
          <w:szCs w:val="22"/>
        </w:rPr>
      </w:pPr>
    </w:p>
    <w:p w:rsidR="00240298" w:rsidRDefault="00240298" w:rsidP="000168AA">
      <w:pPr>
        <w:rPr>
          <w:szCs w:val="22"/>
        </w:rPr>
      </w:pPr>
    </w:p>
    <w:p w:rsidR="00240298" w:rsidRDefault="00240298" w:rsidP="000168AA">
      <w:pPr>
        <w:rPr>
          <w:szCs w:val="22"/>
        </w:rPr>
      </w:pPr>
    </w:p>
    <w:p w:rsidR="00240298" w:rsidRPr="00527B7B" w:rsidRDefault="00240298" w:rsidP="000168AA">
      <w:pPr>
        <w:rPr>
          <w:szCs w:val="22"/>
        </w:rPr>
        <w:sectPr w:rsidR="00240298" w:rsidRPr="00527B7B" w:rsidSect="00527B7B">
          <w:headerReference w:type="default" r:id="rId9"/>
          <w:footerReference w:type="default" r:id="rId10"/>
          <w:pgSz w:w="11906" w:h="16838" w:code="9"/>
          <w:pgMar w:top="720" w:right="1440" w:bottom="1440" w:left="1440" w:header="720" w:footer="1440" w:gutter="0"/>
          <w:cols w:space="708"/>
          <w:titlePg/>
          <w:docGrid w:linePitch="360"/>
        </w:sectPr>
      </w:pPr>
    </w:p>
    <w:p w:rsidR="00135485" w:rsidRPr="00527B7B" w:rsidRDefault="00135485" w:rsidP="000168AA">
      <w:pPr>
        <w:rPr>
          <w:szCs w:val="22"/>
        </w:rPr>
      </w:pPr>
    </w:p>
    <w:p w:rsidR="00135485" w:rsidRPr="00527B7B" w:rsidRDefault="00135485" w:rsidP="000168AA">
      <w:pPr>
        <w:rPr>
          <w:szCs w:val="22"/>
        </w:rPr>
      </w:pPr>
    </w:p>
    <w:p w:rsidR="000168AA" w:rsidRPr="005D2FA2" w:rsidRDefault="000168AA" w:rsidP="00527B7B">
      <w:pPr>
        <w:jc w:val="center"/>
        <w:rPr>
          <w:rFonts w:ascii="Verdana" w:hAnsi="Verdana"/>
          <w:b/>
          <w:sz w:val="20"/>
          <w:u w:val="single"/>
        </w:rPr>
      </w:pPr>
      <w:r w:rsidRPr="005D2FA2">
        <w:rPr>
          <w:rFonts w:ascii="Verdana" w:hAnsi="Verdana"/>
          <w:b/>
          <w:sz w:val="20"/>
          <w:u w:val="single"/>
        </w:rPr>
        <w:t>Background</w:t>
      </w:r>
    </w:p>
    <w:p w:rsidR="000168AA" w:rsidRPr="005D2FA2" w:rsidRDefault="000168AA" w:rsidP="000168AA">
      <w:pPr>
        <w:rPr>
          <w:rFonts w:ascii="Verdana" w:hAnsi="Verdana"/>
          <w:b/>
          <w:sz w:val="20"/>
          <w:u w:val="single"/>
        </w:rPr>
      </w:pPr>
    </w:p>
    <w:p w:rsidR="00135485" w:rsidRPr="005D2FA2" w:rsidRDefault="000168AA" w:rsidP="000168AA">
      <w:pPr>
        <w:rPr>
          <w:rFonts w:ascii="Verdana" w:hAnsi="Verdana"/>
          <w:sz w:val="20"/>
        </w:rPr>
      </w:pPr>
      <w:r w:rsidRPr="005D2FA2">
        <w:rPr>
          <w:rFonts w:ascii="Verdana" w:hAnsi="Verdana"/>
          <w:sz w:val="20"/>
        </w:rPr>
        <w:tab/>
      </w:r>
      <w:r w:rsidR="00665A1D">
        <w:rPr>
          <w:rFonts w:ascii="Verdana" w:hAnsi="Verdana"/>
          <w:sz w:val="20"/>
        </w:rPr>
        <w:t xml:space="preserve">This </w:t>
      </w:r>
      <w:r w:rsidR="00E00748">
        <w:rPr>
          <w:rFonts w:ascii="Verdana" w:hAnsi="Verdana"/>
          <w:sz w:val="20"/>
        </w:rPr>
        <w:t xml:space="preserve">national </w:t>
      </w:r>
      <w:r w:rsidR="00665A1D">
        <w:rPr>
          <w:rFonts w:ascii="Verdana" w:hAnsi="Verdana"/>
          <w:sz w:val="20"/>
        </w:rPr>
        <w:t>w</w:t>
      </w:r>
      <w:r w:rsidR="0094198D" w:rsidRPr="0094198D">
        <w:rPr>
          <w:rFonts w:ascii="Verdana" w:hAnsi="Verdana"/>
          <w:sz w:val="20"/>
        </w:rPr>
        <w:t xml:space="preserve">orkshop on </w:t>
      </w:r>
      <w:r w:rsidR="00AC40F4">
        <w:rPr>
          <w:rFonts w:ascii="Verdana" w:hAnsi="Verdana"/>
          <w:sz w:val="20"/>
        </w:rPr>
        <w:t xml:space="preserve">the WTO TBT Agreement's transparency framework and </w:t>
      </w:r>
      <w:r w:rsidR="00BF7379">
        <w:rPr>
          <w:rFonts w:ascii="Verdana" w:hAnsi="Verdana"/>
          <w:sz w:val="20"/>
        </w:rPr>
        <w:t>ePing</w:t>
      </w:r>
      <w:r w:rsidR="0094198D" w:rsidRPr="0094198D">
        <w:rPr>
          <w:rFonts w:ascii="Verdana" w:hAnsi="Verdana"/>
          <w:sz w:val="20"/>
        </w:rPr>
        <w:t xml:space="preserve"> is organized </w:t>
      </w:r>
      <w:r w:rsidR="00EE199C">
        <w:rPr>
          <w:rFonts w:ascii="Verdana" w:hAnsi="Verdana"/>
          <w:sz w:val="20"/>
        </w:rPr>
        <w:t>by the</w:t>
      </w:r>
      <w:r w:rsidR="0094198D">
        <w:rPr>
          <w:rFonts w:ascii="Verdana" w:hAnsi="Verdana"/>
          <w:sz w:val="20"/>
        </w:rPr>
        <w:t xml:space="preserve"> </w:t>
      </w:r>
      <w:r w:rsidR="00653AEF">
        <w:rPr>
          <w:rFonts w:ascii="Verdana" w:hAnsi="Verdana"/>
          <w:sz w:val="20"/>
        </w:rPr>
        <w:t>WTO S</w:t>
      </w:r>
      <w:r w:rsidR="0094198D">
        <w:rPr>
          <w:rFonts w:ascii="Verdana" w:hAnsi="Verdana"/>
          <w:sz w:val="20"/>
        </w:rPr>
        <w:t xml:space="preserve">ecretariat </w:t>
      </w:r>
      <w:r w:rsidR="0094198D" w:rsidRPr="0094198D">
        <w:rPr>
          <w:rFonts w:ascii="Verdana" w:hAnsi="Verdana"/>
          <w:sz w:val="20"/>
        </w:rPr>
        <w:t xml:space="preserve">and at the request of </w:t>
      </w:r>
      <w:r w:rsidR="000518C9">
        <w:rPr>
          <w:rFonts w:ascii="Verdana" w:hAnsi="Verdana"/>
          <w:sz w:val="20"/>
        </w:rPr>
        <w:t>South Africa</w:t>
      </w:r>
    </w:p>
    <w:p w:rsidR="00AC40F4" w:rsidRDefault="00AC40F4" w:rsidP="00527B7B">
      <w:pPr>
        <w:jc w:val="center"/>
        <w:rPr>
          <w:rFonts w:ascii="Verdana" w:hAnsi="Verdana"/>
          <w:b/>
          <w:sz w:val="20"/>
          <w:u w:val="single"/>
        </w:rPr>
      </w:pPr>
    </w:p>
    <w:p w:rsidR="00AC40F4" w:rsidRDefault="00AC40F4" w:rsidP="00527B7B">
      <w:pPr>
        <w:jc w:val="center"/>
        <w:rPr>
          <w:rFonts w:ascii="Verdana" w:hAnsi="Verdana"/>
          <w:b/>
          <w:sz w:val="20"/>
          <w:u w:val="single"/>
        </w:rPr>
      </w:pPr>
    </w:p>
    <w:p w:rsidR="000168AA" w:rsidRPr="005D2FA2" w:rsidRDefault="000168AA" w:rsidP="00527B7B">
      <w:pPr>
        <w:jc w:val="center"/>
        <w:rPr>
          <w:rFonts w:ascii="Verdana" w:hAnsi="Verdana"/>
          <w:b/>
          <w:sz w:val="20"/>
          <w:u w:val="single"/>
        </w:rPr>
      </w:pPr>
      <w:r w:rsidRPr="005D2FA2">
        <w:rPr>
          <w:rFonts w:ascii="Verdana" w:hAnsi="Verdana"/>
          <w:b/>
          <w:sz w:val="20"/>
          <w:u w:val="single"/>
        </w:rPr>
        <w:t>Structure and Objective</w:t>
      </w:r>
    </w:p>
    <w:p w:rsidR="00C95817" w:rsidRPr="005D2FA2" w:rsidRDefault="00C95817" w:rsidP="000168AA">
      <w:pPr>
        <w:rPr>
          <w:rFonts w:ascii="Verdana" w:hAnsi="Verdana"/>
          <w:sz w:val="20"/>
        </w:rPr>
      </w:pPr>
    </w:p>
    <w:p w:rsidR="0094198D" w:rsidRPr="0094198D" w:rsidRDefault="00C95817" w:rsidP="0094198D">
      <w:pPr>
        <w:rPr>
          <w:rFonts w:ascii="Verdana" w:hAnsi="Verdana"/>
          <w:sz w:val="20"/>
        </w:rPr>
      </w:pPr>
      <w:r w:rsidRPr="0094198D">
        <w:rPr>
          <w:rFonts w:ascii="Verdana" w:hAnsi="Verdana"/>
          <w:sz w:val="20"/>
        </w:rPr>
        <w:tab/>
      </w:r>
      <w:r w:rsidR="0094198D" w:rsidRPr="0094198D">
        <w:rPr>
          <w:rFonts w:ascii="Verdana" w:hAnsi="Verdana"/>
          <w:sz w:val="20"/>
        </w:rPr>
        <w:t xml:space="preserve">The workshop will focus on the </w:t>
      </w:r>
      <w:r w:rsidR="00457F9F">
        <w:rPr>
          <w:rFonts w:ascii="Verdana" w:hAnsi="Verdana"/>
          <w:sz w:val="20"/>
        </w:rPr>
        <w:t xml:space="preserve">transparency provisions of the </w:t>
      </w:r>
      <w:r w:rsidR="0094198D" w:rsidRPr="0094198D">
        <w:rPr>
          <w:rFonts w:ascii="Verdana" w:hAnsi="Verdana"/>
          <w:sz w:val="20"/>
        </w:rPr>
        <w:t>TBT Agreement</w:t>
      </w:r>
      <w:r w:rsidR="001019F3">
        <w:rPr>
          <w:rFonts w:ascii="Verdana" w:hAnsi="Verdana"/>
          <w:sz w:val="20"/>
        </w:rPr>
        <w:t xml:space="preserve"> and using ePing to enhance capacity building and outreach to the private sector.</w:t>
      </w:r>
      <w:r w:rsidR="0094198D" w:rsidRPr="0094198D">
        <w:rPr>
          <w:rFonts w:ascii="Verdana" w:hAnsi="Verdana"/>
          <w:sz w:val="20"/>
        </w:rPr>
        <w:t xml:space="preserve"> </w:t>
      </w:r>
      <w:r w:rsidR="00296B82" w:rsidRPr="00296B82">
        <w:rPr>
          <w:rFonts w:ascii="Verdana" w:hAnsi="Verdana"/>
          <w:sz w:val="20"/>
        </w:rPr>
        <w:t xml:space="preserve">The workshop will combine lectures, exercises and interactive on-line sessions aiming at enhancing </w:t>
      </w:r>
      <w:r w:rsidR="000518C9">
        <w:rPr>
          <w:rFonts w:ascii="Verdana" w:hAnsi="Verdana"/>
          <w:sz w:val="20"/>
        </w:rPr>
        <w:t>South Africa'</w:t>
      </w:r>
      <w:r w:rsidR="001019F3">
        <w:rPr>
          <w:rFonts w:ascii="Verdana" w:hAnsi="Verdana"/>
          <w:sz w:val="20"/>
        </w:rPr>
        <w:t>s use of ePing</w:t>
      </w:r>
      <w:r w:rsidR="00296B82" w:rsidRPr="00296B82">
        <w:rPr>
          <w:rFonts w:ascii="Verdana" w:hAnsi="Verdana"/>
          <w:sz w:val="20"/>
        </w:rPr>
        <w:t xml:space="preserve">. </w:t>
      </w:r>
      <w:r w:rsidR="001019F3">
        <w:rPr>
          <w:rFonts w:ascii="Verdana" w:hAnsi="Verdana"/>
          <w:sz w:val="20"/>
        </w:rPr>
        <w:t>The workshop will also allow participants the opportunity to discuss on going work in the TBT Committee on specific trade concerns of interest</w:t>
      </w:r>
      <w:r w:rsidR="00296B82" w:rsidRPr="00296B82">
        <w:rPr>
          <w:rFonts w:ascii="Verdana" w:hAnsi="Verdana"/>
          <w:sz w:val="20"/>
        </w:rPr>
        <w:t>.</w:t>
      </w:r>
    </w:p>
    <w:p w:rsidR="0094198D" w:rsidRDefault="0094198D" w:rsidP="0094198D"/>
    <w:p w:rsidR="00135485" w:rsidRPr="005D2FA2" w:rsidRDefault="00135485" w:rsidP="000168AA">
      <w:pPr>
        <w:rPr>
          <w:rFonts w:ascii="Verdana" w:hAnsi="Verdana"/>
          <w:sz w:val="20"/>
        </w:rPr>
      </w:pPr>
    </w:p>
    <w:p w:rsidR="000168AA" w:rsidRPr="005D2FA2" w:rsidRDefault="000168AA" w:rsidP="00527B7B">
      <w:pPr>
        <w:jc w:val="center"/>
        <w:rPr>
          <w:rFonts w:ascii="Verdana" w:hAnsi="Verdana"/>
          <w:b/>
          <w:sz w:val="20"/>
          <w:u w:val="single"/>
        </w:rPr>
      </w:pPr>
      <w:r w:rsidRPr="005D2FA2">
        <w:rPr>
          <w:rFonts w:ascii="Verdana" w:hAnsi="Verdana"/>
          <w:b/>
          <w:sz w:val="20"/>
          <w:u w:val="single"/>
        </w:rPr>
        <w:t>Venue</w:t>
      </w:r>
    </w:p>
    <w:p w:rsidR="000168AA" w:rsidRPr="005D2FA2" w:rsidRDefault="000168AA" w:rsidP="000168AA">
      <w:pPr>
        <w:rPr>
          <w:rFonts w:ascii="Verdana" w:hAnsi="Verdana"/>
          <w:sz w:val="20"/>
        </w:rPr>
      </w:pPr>
    </w:p>
    <w:p w:rsidR="000168AA" w:rsidRDefault="000168AA" w:rsidP="00BF7379">
      <w:pPr>
        <w:suppressAutoHyphens/>
        <w:autoSpaceDE w:val="0"/>
        <w:autoSpaceDN w:val="0"/>
        <w:adjustRightInd w:val="0"/>
        <w:rPr>
          <w:rFonts w:ascii="Verdana" w:hAnsi="Verdana"/>
          <w:sz w:val="20"/>
        </w:rPr>
      </w:pPr>
      <w:r w:rsidRPr="005D2FA2">
        <w:rPr>
          <w:rFonts w:ascii="Verdana" w:hAnsi="Verdana"/>
          <w:sz w:val="20"/>
        </w:rPr>
        <w:tab/>
        <w:t>The Workshop will be held at:</w:t>
      </w:r>
    </w:p>
    <w:p w:rsidR="00413107" w:rsidRPr="005D2FA2" w:rsidRDefault="00413107" w:rsidP="00BF7379">
      <w:pPr>
        <w:suppressAutoHyphens/>
        <w:autoSpaceDE w:val="0"/>
        <w:autoSpaceDN w:val="0"/>
        <w:adjustRightInd w:val="0"/>
        <w:rPr>
          <w:rFonts w:ascii="Verdana" w:hAnsi="Verdana"/>
          <w:sz w:val="20"/>
        </w:rPr>
      </w:pPr>
    </w:p>
    <w:p w:rsidR="00135485" w:rsidRPr="005D2FA2" w:rsidRDefault="00135485" w:rsidP="000168AA">
      <w:pPr>
        <w:rPr>
          <w:rFonts w:ascii="Verdana" w:hAnsi="Verdana"/>
          <w:sz w:val="20"/>
        </w:rPr>
      </w:pPr>
    </w:p>
    <w:p w:rsidR="000168AA" w:rsidRPr="005D2FA2" w:rsidRDefault="000168AA" w:rsidP="00527B7B">
      <w:pPr>
        <w:jc w:val="center"/>
        <w:rPr>
          <w:rFonts w:ascii="Verdana" w:hAnsi="Verdana"/>
          <w:b/>
          <w:sz w:val="20"/>
          <w:u w:val="single"/>
        </w:rPr>
      </w:pPr>
      <w:r w:rsidRPr="005D2FA2">
        <w:rPr>
          <w:rFonts w:ascii="Verdana" w:hAnsi="Verdana"/>
          <w:b/>
          <w:sz w:val="20"/>
          <w:u w:val="single"/>
        </w:rPr>
        <w:t>WTO Resource persons</w:t>
      </w:r>
    </w:p>
    <w:p w:rsidR="000168AA" w:rsidRPr="005D2FA2" w:rsidRDefault="000168AA" w:rsidP="000168AA">
      <w:pPr>
        <w:rPr>
          <w:rFonts w:ascii="Verdana" w:hAnsi="Verdana"/>
          <w:sz w:val="20"/>
        </w:rPr>
      </w:pPr>
      <w:r w:rsidRPr="005D2FA2">
        <w:rPr>
          <w:rFonts w:ascii="Verdana" w:hAnsi="Verdana"/>
          <w:sz w:val="20"/>
        </w:rPr>
        <w:tab/>
      </w:r>
    </w:p>
    <w:p w:rsidR="000168AA" w:rsidRPr="005D2FA2" w:rsidRDefault="000168AA" w:rsidP="000168AA">
      <w:pPr>
        <w:rPr>
          <w:rFonts w:ascii="Verdana" w:hAnsi="Verdana"/>
          <w:sz w:val="20"/>
        </w:rPr>
      </w:pPr>
      <w:r w:rsidRPr="005D2FA2">
        <w:rPr>
          <w:rFonts w:ascii="Verdana" w:hAnsi="Verdana"/>
          <w:sz w:val="20"/>
        </w:rPr>
        <w:tab/>
        <w:t>For information on the substantive elements of the Workshop, please contact directly:</w:t>
      </w:r>
    </w:p>
    <w:p w:rsidR="000168AA" w:rsidRPr="005D2FA2" w:rsidRDefault="000168AA" w:rsidP="000168AA">
      <w:pPr>
        <w:rPr>
          <w:rFonts w:ascii="Verdana" w:hAnsi="Verdana"/>
          <w:sz w:val="20"/>
        </w:rPr>
      </w:pPr>
    </w:p>
    <w:p w:rsidR="00D13D9B" w:rsidRPr="00BF7379" w:rsidRDefault="000168AA" w:rsidP="000168AA">
      <w:pPr>
        <w:rPr>
          <w:rFonts w:ascii="Verdana" w:hAnsi="Verdana"/>
          <w:sz w:val="20"/>
          <w:lang w:val="es-ES"/>
        </w:rPr>
      </w:pPr>
      <w:r w:rsidRPr="005D2FA2">
        <w:rPr>
          <w:rFonts w:ascii="Verdana" w:hAnsi="Verdana"/>
          <w:sz w:val="20"/>
        </w:rPr>
        <w:tab/>
      </w:r>
      <w:r w:rsidR="000518C9">
        <w:rPr>
          <w:rFonts w:ascii="Verdana" w:hAnsi="Verdana"/>
          <w:sz w:val="20"/>
          <w:lang w:val="es-ES"/>
        </w:rPr>
        <w:t>Ms Serra Ayral (</w:t>
      </w:r>
      <w:hyperlink r:id="rId11" w:history="1">
        <w:r w:rsidR="000518C9" w:rsidRPr="00862ECB">
          <w:rPr>
            <w:rStyle w:val="Hyperlink"/>
            <w:rFonts w:ascii="Verdana" w:hAnsi="Verdana"/>
            <w:sz w:val="20"/>
            <w:lang w:val="es-ES"/>
          </w:rPr>
          <w:t>serra.ayral@wto.org</w:t>
        </w:r>
      </w:hyperlink>
      <w:r w:rsidR="000518C9">
        <w:rPr>
          <w:rFonts w:ascii="Verdana" w:hAnsi="Verdana"/>
          <w:sz w:val="20"/>
          <w:lang w:val="es-ES"/>
        </w:rPr>
        <w:t>)</w:t>
      </w:r>
      <w:r w:rsidR="00BF7379">
        <w:rPr>
          <w:rFonts w:ascii="Verdana" w:hAnsi="Verdana"/>
          <w:sz w:val="20"/>
          <w:lang w:val="es-ES"/>
        </w:rPr>
        <w:t xml:space="preserve"> </w:t>
      </w:r>
    </w:p>
    <w:p w:rsidR="00761AFA" w:rsidRDefault="00D13D9B" w:rsidP="000168AA">
      <w:pPr>
        <w:rPr>
          <w:rFonts w:ascii="Verdana" w:hAnsi="Verdana"/>
          <w:sz w:val="20"/>
          <w:lang w:val="en-US"/>
        </w:rPr>
      </w:pPr>
      <w:r w:rsidRPr="00BF7379">
        <w:rPr>
          <w:rFonts w:ascii="Verdana" w:hAnsi="Verdana"/>
          <w:sz w:val="20"/>
          <w:lang w:val="es-ES"/>
        </w:rPr>
        <w:tab/>
      </w:r>
      <w:r w:rsidR="00457F9F" w:rsidRPr="00014C5C">
        <w:rPr>
          <w:rFonts w:ascii="Verdana" w:hAnsi="Verdana"/>
          <w:sz w:val="20"/>
          <w:lang w:val="en-US"/>
        </w:rPr>
        <w:t>Ms</w:t>
      </w:r>
      <w:r w:rsidR="000168AA" w:rsidRPr="00014C5C">
        <w:rPr>
          <w:rFonts w:ascii="Verdana" w:hAnsi="Verdana"/>
          <w:sz w:val="20"/>
          <w:lang w:val="en-US"/>
        </w:rPr>
        <w:t xml:space="preserve"> </w:t>
      </w:r>
      <w:r w:rsidR="00014C5C">
        <w:rPr>
          <w:rFonts w:ascii="Verdana" w:hAnsi="Verdana"/>
          <w:sz w:val="20"/>
          <w:lang w:val="en-US"/>
        </w:rPr>
        <w:t>Ú</w:t>
      </w:r>
      <w:r w:rsidR="00457F9F" w:rsidRPr="00014C5C">
        <w:rPr>
          <w:rFonts w:ascii="Verdana" w:hAnsi="Verdana"/>
          <w:sz w:val="20"/>
          <w:lang w:val="en-US"/>
        </w:rPr>
        <w:t>na Flanagan</w:t>
      </w:r>
      <w:r w:rsidR="000168AA" w:rsidRPr="00014C5C">
        <w:rPr>
          <w:rFonts w:ascii="Verdana" w:hAnsi="Verdana"/>
          <w:sz w:val="20"/>
          <w:lang w:val="en-US"/>
        </w:rPr>
        <w:t xml:space="preserve"> (</w:t>
      </w:r>
      <w:hyperlink r:id="rId12" w:history="1">
        <w:r w:rsidR="00457F9F" w:rsidRPr="00014C5C">
          <w:rPr>
            <w:rStyle w:val="Hyperlink"/>
            <w:rFonts w:ascii="Verdana" w:hAnsi="Verdana"/>
            <w:sz w:val="20"/>
            <w:lang w:val="en-US"/>
          </w:rPr>
          <w:t>una.flanagan@wto.org</w:t>
        </w:r>
      </w:hyperlink>
      <w:r w:rsidR="004B5205">
        <w:rPr>
          <w:rFonts w:ascii="Verdana" w:hAnsi="Verdana"/>
          <w:sz w:val="20"/>
          <w:lang w:val="en-US"/>
        </w:rPr>
        <w:t>)</w:t>
      </w:r>
    </w:p>
    <w:p w:rsidR="004B5205" w:rsidRDefault="004B5205" w:rsidP="000168AA">
      <w:pPr>
        <w:rPr>
          <w:rFonts w:ascii="Verdana" w:hAnsi="Verdana"/>
          <w:sz w:val="20"/>
          <w:lang w:val="en-US"/>
        </w:rPr>
      </w:pPr>
    </w:p>
    <w:p w:rsidR="004B5205" w:rsidRDefault="004B5205" w:rsidP="000168AA">
      <w:pPr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          </w:t>
      </w:r>
    </w:p>
    <w:p w:rsidR="004B5205" w:rsidRPr="00014C5C" w:rsidRDefault="004B5205" w:rsidP="000168AA">
      <w:pPr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          </w:t>
      </w:r>
    </w:p>
    <w:p w:rsidR="000168AA" w:rsidRPr="00014C5C" w:rsidRDefault="000168AA" w:rsidP="000168AA">
      <w:pPr>
        <w:rPr>
          <w:rFonts w:ascii="Verdana" w:hAnsi="Verdana"/>
          <w:sz w:val="20"/>
          <w:lang w:val="en-US"/>
        </w:rPr>
      </w:pPr>
    </w:p>
    <w:p w:rsidR="000168AA" w:rsidRPr="00014C5C" w:rsidRDefault="000168AA" w:rsidP="000168AA">
      <w:pPr>
        <w:rPr>
          <w:rFonts w:ascii="Verdana" w:hAnsi="Verdana"/>
          <w:sz w:val="20"/>
          <w:lang w:val="en-US"/>
        </w:rPr>
      </w:pPr>
    </w:p>
    <w:p w:rsidR="0019447C" w:rsidRPr="00752AC1" w:rsidRDefault="000168AA" w:rsidP="00BC6DBB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014C5C">
        <w:rPr>
          <w:rFonts w:ascii="Verdana" w:hAnsi="Verdana"/>
          <w:lang w:val="en-US"/>
        </w:rPr>
        <w:br w:type="page"/>
      </w:r>
      <w:r w:rsidR="00752AC1" w:rsidRPr="00752AC1">
        <w:rPr>
          <w:rFonts w:ascii="Verdana" w:hAnsi="Verdana"/>
          <w:b/>
          <w:sz w:val="24"/>
          <w:szCs w:val="24"/>
          <w:u w:val="single"/>
        </w:rPr>
        <w:lastRenderedPageBreak/>
        <w:t xml:space="preserve">Course </w:t>
      </w:r>
      <w:r w:rsidR="00135485" w:rsidRPr="00752AC1">
        <w:rPr>
          <w:rFonts w:ascii="Verdana" w:hAnsi="Verdana"/>
          <w:b/>
          <w:sz w:val="24"/>
          <w:szCs w:val="24"/>
          <w:u w:val="single"/>
        </w:rPr>
        <w:t>Programme</w:t>
      </w:r>
    </w:p>
    <w:p w:rsidR="00BC6DBB" w:rsidRPr="00BC6DBB" w:rsidRDefault="00BC6DBB" w:rsidP="00BC6DBB">
      <w:pPr>
        <w:jc w:val="center"/>
        <w:rPr>
          <w:rFonts w:ascii="Verdana" w:hAnsi="Verdana"/>
          <w:b/>
          <w:sz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080"/>
      </w:tblGrid>
      <w:tr w:rsidR="0019447C" w:rsidRPr="005D2FA2" w:rsidTr="00CA36B4">
        <w:trPr>
          <w:trHeight w:val="567"/>
        </w:trPr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9447C" w:rsidRPr="005D2FA2" w:rsidRDefault="000518C9" w:rsidP="006D7A5C">
            <w:pPr>
              <w:spacing w:before="120" w:after="240"/>
              <w:jc w:val="center"/>
              <w:rPr>
                <w:rFonts w:ascii="Verdana" w:hAnsi="Verdana"/>
                <w:b/>
                <w:caps/>
                <w:szCs w:val="22"/>
              </w:rPr>
            </w:pPr>
            <w:r>
              <w:rPr>
                <w:rFonts w:ascii="Verdana" w:hAnsi="Verdana"/>
                <w:b/>
                <w:caps/>
                <w:szCs w:val="22"/>
              </w:rPr>
              <w:t>Day 1</w:t>
            </w:r>
            <w:r w:rsidR="00776F0D">
              <w:rPr>
                <w:rFonts w:ascii="Verdana" w:hAnsi="Verdana"/>
                <w:b/>
                <w:caps/>
                <w:szCs w:val="22"/>
              </w:rPr>
              <w:t xml:space="preserve"> </w:t>
            </w:r>
          </w:p>
        </w:tc>
      </w:tr>
      <w:tr w:rsidR="006F6EAD" w:rsidRPr="005D2FA2" w:rsidTr="00D07CF7">
        <w:trPr>
          <w:trHeight w:val="170"/>
        </w:trPr>
        <w:tc>
          <w:tcPr>
            <w:tcW w:w="1526" w:type="dxa"/>
            <w:shd w:val="clear" w:color="auto" w:fill="auto"/>
          </w:tcPr>
          <w:p w:rsidR="006F6EAD" w:rsidRPr="00804655" w:rsidRDefault="006F6EAD" w:rsidP="006D7A5C">
            <w:pPr>
              <w:spacing w:before="120" w:after="24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8"/>
                <w:szCs w:val="18"/>
              </w:rPr>
              <w:t>9:00–</w:t>
            </w:r>
            <w:r w:rsidRPr="00804655">
              <w:rPr>
                <w:rFonts w:ascii="Verdana" w:hAnsi="Verdana"/>
                <w:sz w:val="18"/>
                <w:szCs w:val="18"/>
              </w:rPr>
              <w:t>9:30</w:t>
            </w:r>
          </w:p>
        </w:tc>
        <w:tc>
          <w:tcPr>
            <w:tcW w:w="8080" w:type="dxa"/>
            <w:shd w:val="clear" w:color="auto" w:fill="auto"/>
          </w:tcPr>
          <w:p w:rsidR="006F6EAD" w:rsidRPr="005D2FA2" w:rsidRDefault="00776F0D" w:rsidP="006D7A5C">
            <w:pPr>
              <w:spacing w:before="120" w:after="24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Opening </w:t>
            </w:r>
            <w:r w:rsidR="00533E85">
              <w:rPr>
                <w:rFonts w:ascii="Verdana" w:hAnsi="Verdana"/>
                <w:b/>
                <w:sz w:val="20"/>
              </w:rPr>
              <w:t>and welcome</w:t>
            </w:r>
          </w:p>
        </w:tc>
      </w:tr>
      <w:tr w:rsidR="006F6EAD" w:rsidRPr="005D2FA2" w:rsidTr="00D657C9">
        <w:trPr>
          <w:trHeight w:val="633"/>
        </w:trPr>
        <w:tc>
          <w:tcPr>
            <w:tcW w:w="1526" w:type="dxa"/>
            <w:shd w:val="clear" w:color="auto" w:fill="auto"/>
          </w:tcPr>
          <w:p w:rsidR="006F6EAD" w:rsidRPr="00804655" w:rsidRDefault="006F6EAD" w:rsidP="006D7A5C">
            <w:pPr>
              <w:spacing w:before="120" w:after="240"/>
              <w:jc w:val="left"/>
              <w:rPr>
                <w:rFonts w:ascii="Verdana" w:hAnsi="Verdana"/>
                <w:sz w:val="18"/>
                <w:szCs w:val="18"/>
              </w:rPr>
            </w:pPr>
            <w:r w:rsidRPr="00804655">
              <w:rPr>
                <w:rFonts w:ascii="Verdana" w:hAnsi="Verdana"/>
                <w:sz w:val="18"/>
                <w:szCs w:val="18"/>
              </w:rPr>
              <w:t>9:30</w:t>
            </w:r>
            <w:r>
              <w:rPr>
                <w:rFonts w:ascii="Verdana" w:hAnsi="Verdana"/>
                <w:sz w:val="18"/>
                <w:szCs w:val="18"/>
              </w:rPr>
              <w:t>–</w:t>
            </w:r>
            <w:r w:rsidRPr="00804655">
              <w:rPr>
                <w:rFonts w:ascii="Verdana" w:hAnsi="Verdana"/>
                <w:sz w:val="18"/>
                <w:szCs w:val="18"/>
              </w:rPr>
              <w:t>10</w:t>
            </w:r>
            <w:r w:rsidR="00BF0247">
              <w:rPr>
                <w:rFonts w:ascii="Verdana" w:hAnsi="Verdana"/>
                <w:sz w:val="18"/>
                <w:szCs w:val="18"/>
              </w:rPr>
              <w:t>:45</w:t>
            </w:r>
          </w:p>
        </w:tc>
        <w:tc>
          <w:tcPr>
            <w:tcW w:w="8080" w:type="dxa"/>
            <w:shd w:val="clear" w:color="auto" w:fill="auto"/>
          </w:tcPr>
          <w:p w:rsidR="006372C1" w:rsidRPr="001E25DD" w:rsidRDefault="00AC40F4" w:rsidP="006D7A5C">
            <w:pPr>
              <w:spacing w:before="120" w:after="24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Setting the context: </w:t>
            </w:r>
            <w:r w:rsidR="00776F0D">
              <w:rPr>
                <w:rFonts w:ascii="Verdana" w:hAnsi="Verdana"/>
                <w:b/>
                <w:sz w:val="20"/>
              </w:rPr>
              <w:t xml:space="preserve">Overview of the </w:t>
            </w:r>
            <w:r>
              <w:rPr>
                <w:rFonts w:ascii="Verdana" w:hAnsi="Verdana"/>
                <w:b/>
                <w:sz w:val="20"/>
              </w:rPr>
              <w:t>WTO TBT Agreement</w:t>
            </w:r>
            <w:r w:rsidR="001E25DD">
              <w:rPr>
                <w:rFonts w:ascii="Verdana" w:hAnsi="Verdana"/>
                <w:b/>
                <w:sz w:val="20"/>
              </w:rPr>
              <w:t xml:space="preserve"> </w:t>
            </w:r>
            <w:r w:rsidR="00BF7379">
              <w:rPr>
                <w:rFonts w:ascii="Verdana" w:hAnsi="Verdana"/>
                <w:b/>
                <w:sz w:val="20"/>
              </w:rPr>
              <w:t xml:space="preserve">and </w:t>
            </w:r>
            <w:r w:rsidR="00974FD0">
              <w:rPr>
                <w:rFonts w:ascii="Verdana" w:hAnsi="Verdana"/>
                <w:b/>
                <w:sz w:val="20"/>
              </w:rPr>
              <w:t>work in the TBT Committee</w:t>
            </w:r>
          </w:p>
        </w:tc>
      </w:tr>
      <w:tr w:rsidR="006F6EAD" w:rsidRPr="005D2FA2" w:rsidTr="00D657C9">
        <w:trPr>
          <w:trHeight w:val="425"/>
        </w:trPr>
        <w:tc>
          <w:tcPr>
            <w:tcW w:w="1526" w:type="dxa"/>
            <w:shd w:val="clear" w:color="auto" w:fill="auto"/>
          </w:tcPr>
          <w:p w:rsidR="006F6EAD" w:rsidRPr="00804655" w:rsidRDefault="006F6EAD" w:rsidP="006D7A5C">
            <w:pPr>
              <w:spacing w:before="120" w:after="24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FE3DF0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="00BF0247">
              <w:rPr>
                <w:rFonts w:ascii="Verdana" w:hAnsi="Verdana"/>
                <w:sz w:val="18"/>
                <w:szCs w:val="18"/>
              </w:rPr>
              <w:t>45</w:t>
            </w:r>
            <w:r w:rsidR="00A2545F" w:rsidRPr="005F4244">
              <w:rPr>
                <w:rFonts w:ascii="Verdana" w:hAnsi="Verdana"/>
                <w:sz w:val="20"/>
              </w:rPr>
              <w:t>–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="00BF0247">
              <w:rPr>
                <w:rFonts w:ascii="Verdana" w:hAnsi="Verdana"/>
                <w:sz w:val="18"/>
                <w:szCs w:val="18"/>
              </w:rPr>
              <w:t>1</w:t>
            </w:r>
            <w:r w:rsidR="002630EC">
              <w:rPr>
                <w:rFonts w:ascii="Verdana" w:hAnsi="Verdana"/>
                <w:sz w:val="18"/>
                <w:szCs w:val="18"/>
              </w:rPr>
              <w:t>:</w:t>
            </w:r>
            <w:r w:rsidR="00BF0247"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8080" w:type="dxa"/>
            <w:shd w:val="clear" w:color="auto" w:fill="auto"/>
          </w:tcPr>
          <w:p w:rsidR="006F6EAD" w:rsidRPr="00B04018" w:rsidRDefault="00776F0D" w:rsidP="006D7A5C">
            <w:pPr>
              <w:tabs>
                <w:tab w:val="clear" w:pos="720"/>
              </w:tabs>
              <w:spacing w:before="120" w:after="240"/>
              <w:jc w:val="left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</w:rPr>
              <w:t>Coffee break</w:t>
            </w:r>
          </w:p>
        </w:tc>
      </w:tr>
      <w:tr w:rsidR="006F6EAD" w:rsidRPr="005D2FA2" w:rsidTr="00D657C9">
        <w:trPr>
          <w:trHeight w:val="425"/>
        </w:trPr>
        <w:tc>
          <w:tcPr>
            <w:tcW w:w="1526" w:type="dxa"/>
            <w:shd w:val="clear" w:color="auto" w:fill="auto"/>
          </w:tcPr>
          <w:p w:rsidR="006F6EAD" w:rsidRPr="00804655" w:rsidRDefault="005D7020" w:rsidP="006D7A5C">
            <w:pPr>
              <w:spacing w:before="120" w:after="24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BF0247">
              <w:rPr>
                <w:rFonts w:ascii="Verdana" w:hAnsi="Verdana"/>
                <w:sz w:val="18"/>
                <w:szCs w:val="18"/>
              </w:rPr>
              <w:t>1:00</w:t>
            </w:r>
            <w:r>
              <w:rPr>
                <w:rFonts w:ascii="Verdana" w:hAnsi="Verdana"/>
                <w:sz w:val="18"/>
                <w:szCs w:val="18"/>
              </w:rPr>
              <w:t>-12:</w:t>
            </w:r>
            <w:r w:rsidR="00BF0247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8B45D4" w:rsidRDefault="001E25DD" w:rsidP="006D7A5C">
            <w:pPr>
              <w:spacing w:before="120" w:after="24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Overview of </w:t>
            </w:r>
            <w:r w:rsidR="00AC40F4">
              <w:rPr>
                <w:rFonts w:ascii="Verdana" w:hAnsi="Verdana"/>
                <w:b/>
                <w:sz w:val="20"/>
              </w:rPr>
              <w:t xml:space="preserve">the WTO </w:t>
            </w:r>
            <w:r>
              <w:rPr>
                <w:rFonts w:ascii="Verdana" w:hAnsi="Verdana"/>
                <w:b/>
                <w:sz w:val="20"/>
              </w:rPr>
              <w:t xml:space="preserve">Transparency </w:t>
            </w:r>
            <w:r w:rsidR="00AC40F4">
              <w:rPr>
                <w:rFonts w:ascii="Verdana" w:hAnsi="Verdana"/>
                <w:b/>
                <w:sz w:val="20"/>
              </w:rPr>
              <w:t>Framework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</w:p>
          <w:p w:rsidR="00AC40F4" w:rsidRDefault="00AC40F4" w:rsidP="006D7A5C">
            <w:pPr>
              <w:pStyle w:val="ListParagraph"/>
              <w:numPr>
                <w:ilvl w:val="0"/>
                <w:numId w:val="6"/>
              </w:numPr>
              <w:spacing w:before="120"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Main transparency provisions and procedures</w:t>
            </w:r>
          </w:p>
          <w:p w:rsidR="008B45D4" w:rsidRDefault="008B45D4" w:rsidP="006D7A5C">
            <w:pPr>
              <w:pStyle w:val="ListParagraph"/>
              <w:numPr>
                <w:ilvl w:val="0"/>
                <w:numId w:val="6"/>
              </w:numPr>
              <w:spacing w:before="120" w:after="240"/>
              <w:rPr>
                <w:rFonts w:ascii="Verdana" w:hAnsi="Verdana"/>
                <w:sz w:val="20"/>
              </w:rPr>
            </w:pPr>
            <w:r w:rsidRPr="003A0474">
              <w:rPr>
                <w:rFonts w:ascii="Verdana" w:hAnsi="Verdana"/>
                <w:sz w:val="20"/>
              </w:rPr>
              <w:t>Notifying "own measures"</w:t>
            </w:r>
          </w:p>
          <w:p w:rsidR="008B45D4" w:rsidRDefault="00BF0247" w:rsidP="006D7A5C">
            <w:pPr>
              <w:pStyle w:val="ListParagraph"/>
              <w:numPr>
                <w:ilvl w:val="0"/>
                <w:numId w:val="6"/>
              </w:numPr>
              <w:spacing w:before="120" w:after="240"/>
              <w:rPr>
                <w:rFonts w:ascii="Verdana" w:hAnsi="Verdana"/>
                <w:sz w:val="20"/>
              </w:rPr>
            </w:pPr>
            <w:r w:rsidRPr="003A0474">
              <w:rPr>
                <w:rFonts w:ascii="Verdana" w:hAnsi="Verdana"/>
                <w:sz w:val="20"/>
              </w:rPr>
              <w:t>Reacting to trading partners</w:t>
            </w:r>
            <w:r w:rsidR="00CE78A0">
              <w:rPr>
                <w:rFonts w:ascii="Verdana" w:hAnsi="Verdana"/>
                <w:sz w:val="20"/>
              </w:rPr>
              <w:t>'</w:t>
            </w:r>
            <w:r w:rsidRPr="003A0474">
              <w:rPr>
                <w:rFonts w:ascii="Verdana" w:hAnsi="Verdana"/>
                <w:sz w:val="20"/>
              </w:rPr>
              <w:t xml:space="preserve"> measures</w:t>
            </w:r>
          </w:p>
          <w:p w:rsidR="00CE78A0" w:rsidRPr="00CE78A0" w:rsidRDefault="00CE78A0" w:rsidP="006D7A5C">
            <w:pPr>
              <w:pStyle w:val="ListParagraph"/>
              <w:numPr>
                <w:ilvl w:val="0"/>
                <w:numId w:val="6"/>
              </w:numPr>
              <w:spacing w:before="120"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Recommendations from Triennial Review of the Agreement</w:t>
            </w:r>
          </w:p>
          <w:p w:rsidR="003A0474" w:rsidRPr="00AC40F4" w:rsidRDefault="00AC40F4" w:rsidP="006D7A5C">
            <w:pPr>
              <w:pStyle w:val="ListParagraph"/>
              <w:numPr>
                <w:ilvl w:val="0"/>
                <w:numId w:val="6"/>
              </w:numPr>
              <w:spacing w:before="120"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Facts and figures on </w:t>
            </w:r>
            <w:r w:rsidR="007D2D29">
              <w:rPr>
                <w:rFonts w:ascii="Verdana" w:hAnsi="Verdana"/>
                <w:sz w:val="20"/>
              </w:rPr>
              <w:t>transparency</w:t>
            </w:r>
          </w:p>
        </w:tc>
      </w:tr>
      <w:tr w:rsidR="006F6EAD" w:rsidRPr="005D2FA2" w:rsidTr="00D657C9">
        <w:trPr>
          <w:trHeight w:val="427"/>
        </w:trPr>
        <w:tc>
          <w:tcPr>
            <w:tcW w:w="1526" w:type="dxa"/>
            <w:shd w:val="clear" w:color="auto" w:fill="auto"/>
          </w:tcPr>
          <w:p w:rsidR="006F6EAD" w:rsidRPr="00804655" w:rsidRDefault="006F6EAD" w:rsidP="006D7A5C">
            <w:pPr>
              <w:spacing w:before="120" w:after="24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</w:t>
            </w:r>
            <w:r w:rsidR="008B45D4">
              <w:rPr>
                <w:rFonts w:ascii="Verdana" w:hAnsi="Verdana"/>
                <w:sz w:val="18"/>
                <w:szCs w:val="18"/>
              </w:rPr>
              <w:t>3</w:t>
            </w:r>
            <w:r w:rsidR="005D7020">
              <w:rPr>
                <w:rFonts w:ascii="Verdana" w:hAnsi="Verdana"/>
                <w:sz w:val="18"/>
                <w:szCs w:val="18"/>
              </w:rPr>
              <w:t>0</w:t>
            </w:r>
            <w:r w:rsidR="002630EC">
              <w:rPr>
                <w:rFonts w:ascii="Verdana" w:hAnsi="Verdana"/>
                <w:sz w:val="18"/>
                <w:szCs w:val="18"/>
              </w:rPr>
              <w:t>–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="00014C5C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="00014C5C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6F6EAD" w:rsidRPr="005D2FA2" w:rsidRDefault="006F6EAD" w:rsidP="006D7A5C">
            <w:pPr>
              <w:spacing w:before="120" w:after="24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Lunch Break</w:t>
            </w:r>
          </w:p>
        </w:tc>
      </w:tr>
      <w:tr w:rsidR="006F6EAD" w:rsidRPr="005D2FA2" w:rsidTr="00D657C9">
        <w:trPr>
          <w:trHeight w:val="393"/>
        </w:trPr>
        <w:tc>
          <w:tcPr>
            <w:tcW w:w="1526" w:type="dxa"/>
            <w:shd w:val="clear" w:color="auto" w:fill="auto"/>
          </w:tcPr>
          <w:p w:rsidR="006F6EAD" w:rsidRDefault="006F6EAD" w:rsidP="006D7A5C">
            <w:pPr>
              <w:spacing w:before="120" w:after="24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014C5C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="00014C5C">
              <w:rPr>
                <w:rFonts w:ascii="Verdana" w:hAnsi="Verdana"/>
                <w:sz w:val="18"/>
                <w:szCs w:val="18"/>
              </w:rPr>
              <w:t>30</w:t>
            </w:r>
            <w:r>
              <w:rPr>
                <w:rFonts w:ascii="Verdana" w:hAnsi="Verdana"/>
                <w:sz w:val="18"/>
                <w:szCs w:val="18"/>
              </w:rPr>
              <w:t>–</w:t>
            </w:r>
            <w:r w:rsidR="005C70D9">
              <w:rPr>
                <w:rFonts w:ascii="Verdana" w:hAnsi="Verdana"/>
                <w:sz w:val="18"/>
                <w:szCs w:val="18"/>
              </w:rPr>
              <w:t>14.15</w:t>
            </w:r>
          </w:p>
        </w:tc>
        <w:tc>
          <w:tcPr>
            <w:tcW w:w="8080" w:type="dxa"/>
            <w:shd w:val="clear" w:color="auto" w:fill="auto"/>
          </w:tcPr>
          <w:p w:rsidR="00AC40F4" w:rsidRDefault="005C70D9" w:rsidP="006D7A5C">
            <w:pPr>
              <w:tabs>
                <w:tab w:val="clear" w:pos="720"/>
              </w:tabs>
              <w:spacing w:before="120" w:after="24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National/regional experiences on complying with and benefitting from the TBT transparency framework </w:t>
            </w:r>
          </w:p>
          <w:p w:rsidR="005C70D9" w:rsidRPr="005C70D9" w:rsidRDefault="005C70D9" w:rsidP="006D7A5C">
            <w:pPr>
              <w:pStyle w:val="ListParagraph"/>
              <w:numPr>
                <w:ilvl w:val="0"/>
                <w:numId w:val="6"/>
              </w:numPr>
              <w:spacing w:before="120" w:after="240"/>
              <w:rPr>
                <w:rFonts w:ascii="Verdana" w:hAnsi="Verdana"/>
                <w:sz w:val="20"/>
              </w:rPr>
            </w:pPr>
            <w:r w:rsidRPr="005C70D9">
              <w:rPr>
                <w:rFonts w:ascii="Verdana" w:hAnsi="Verdana"/>
                <w:sz w:val="20"/>
              </w:rPr>
              <w:t>Presentation and group discussion</w:t>
            </w:r>
          </w:p>
        </w:tc>
      </w:tr>
      <w:tr w:rsidR="00BF0247" w:rsidRPr="005D2FA2" w:rsidTr="00D657C9">
        <w:trPr>
          <w:trHeight w:val="393"/>
        </w:trPr>
        <w:tc>
          <w:tcPr>
            <w:tcW w:w="1526" w:type="dxa"/>
            <w:shd w:val="clear" w:color="auto" w:fill="auto"/>
          </w:tcPr>
          <w:p w:rsidR="00BF0247" w:rsidRDefault="00BF0247" w:rsidP="006D7A5C">
            <w:pPr>
              <w:spacing w:before="120" w:after="24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5C70D9">
              <w:rPr>
                <w:rFonts w:ascii="Verdana" w:hAnsi="Verdana"/>
                <w:sz w:val="18"/>
                <w:szCs w:val="18"/>
              </w:rPr>
              <w:t>4.15</w:t>
            </w:r>
            <w:r>
              <w:rPr>
                <w:rFonts w:ascii="Verdana" w:hAnsi="Verdana"/>
                <w:sz w:val="18"/>
                <w:szCs w:val="18"/>
              </w:rPr>
              <w:t>–15:</w:t>
            </w:r>
            <w:r w:rsidR="005C70D9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8080" w:type="dxa"/>
            <w:shd w:val="clear" w:color="auto" w:fill="auto"/>
          </w:tcPr>
          <w:p w:rsidR="00807B33" w:rsidRDefault="00807B33" w:rsidP="006D7A5C">
            <w:pPr>
              <w:tabs>
                <w:tab w:val="clear" w:pos="720"/>
              </w:tabs>
              <w:spacing w:before="120" w:after="24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Overview on sources of TBT information (website, TBT IMS, etc…)</w:t>
            </w:r>
          </w:p>
          <w:p w:rsidR="00BF0247" w:rsidRDefault="005C70D9" w:rsidP="006D7A5C">
            <w:pPr>
              <w:spacing w:before="120" w:after="24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ePing: </w:t>
            </w:r>
            <w:r w:rsidR="00807B33">
              <w:rPr>
                <w:rFonts w:ascii="Verdana" w:hAnsi="Verdana"/>
                <w:b/>
                <w:sz w:val="20"/>
              </w:rPr>
              <w:t>SPS &amp; TBT notification alert system</w:t>
            </w:r>
          </w:p>
          <w:p w:rsidR="005C70D9" w:rsidRPr="005C70D9" w:rsidRDefault="00CE78A0" w:rsidP="006D7A5C">
            <w:pPr>
              <w:pStyle w:val="ListParagraph"/>
              <w:numPr>
                <w:ilvl w:val="0"/>
                <w:numId w:val="6"/>
              </w:numPr>
              <w:spacing w:before="120"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Presentation</w:t>
            </w:r>
            <w:r w:rsidR="005C70D9" w:rsidRPr="005C70D9">
              <w:rPr>
                <w:rFonts w:ascii="Verdana" w:hAnsi="Verdana"/>
                <w:sz w:val="20"/>
              </w:rPr>
              <w:t xml:space="preserve"> of main functions</w:t>
            </w:r>
          </w:p>
        </w:tc>
      </w:tr>
      <w:tr w:rsidR="006F6EAD" w:rsidRPr="005D2FA2" w:rsidTr="00D657C9">
        <w:trPr>
          <w:trHeight w:val="586"/>
        </w:trPr>
        <w:tc>
          <w:tcPr>
            <w:tcW w:w="1526" w:type="dxa"/>
            <w:shd w:val="clear" w:color="auto" w:fill="auto"/>
          </w:tcPr>
          <w:p w:rsidR="006F6EAD" w:rsidRPr="0012150B" w:rsidRDefault="00014C5C" w:rsidP="006D7A5C">
            <w:pPr>
              <w:spacing w:before="120" w:after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15:</w:t>
            </w:r>
            <w:r w:rsidR="00CF157B">
              <w:rPr>
                <w:rFonts w:ascii="Verdana" w:hAnsi="Verdana"/>
                <w:sz w:val="18"/>
                <w:szCs w:val="18"/>
              </w:rPr>
              <w:t>30</w:t>
            </w:r>
            <w:r w:rsidRPr="005F4244">
              <w:rPr>
                <w:rFonts w:ascii="Verdana" w:hAnsi="Verdana"/>
                <w:sz w:val="20"/>
              </w:rPr>
              <w:t>–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="00CF157B">
              <w:rPr>
                <w:rFonts w:ascii="Verdana" w:hAnsi="Verdana"/>
                <w:sz w:val="18"/>
                <w:szCs w:val="18"/>
              </w:rPr>
              <w:t>5:45</w:t>
            </w:r>
          </w:p>
        </w:tc>
        <w:tc>
          <w:tcPr>
            <w:tcW w:w="8080" w:type="dxa"/>
            <w:shd w:val="clear" w:color="auto" w:fill="auto"/>
          </w:tcPr>
          <w:p w:rsidR="006F6EAD" w:rsidRPr="006F6EAD" w:rsidRDefault="00014C5C" w:rsidP="006D7A5C">
            <w:pPr>
              <w:spacing w:before="120" w:after="240"/>
              <w:rPr>
                <w:rFonts w:ascii="Verdana" w:hAnsi="Verdana"/>
                <w:sz w:val="20"/>
              </w:rPr>
            </w:pPr>
            <w:r w:rsidRPr="00B60218">
              <w:rPr>
                <w:rFonts w:ascii="Verdana" w:hAnsi="Verdana"/>
                <w:b/>
                <w:sz w:val="20"/>
              </w:rPr>
              <w:t>Coffee Break</w:t>
            </w:r>
          </w:p>
        </w:tc>
      </w:tr>
      <w:tr w:rsidR="00014C5C" w:rsidRPr="00807B33" w:rsidTr="00D657C9">
        <w:trPr>
          <w:trHeight w:val="586"/>
        </w:trPr>
        <w:tc>
          <w:tcPr>
            <w:tcW w:w="1526" w:type="dxa"/>
            <w:shd w:val="clear" w:color="auto" w:fill="auto"/>
          </w:tcPr>
          <w:p w:rsidR="00014C5C" w:rsidRPr="0012150B" w:rsidRDefault="00E44039" w:rsidP="006D7A5C">
            <w:pPr>
              <w:spacing w:before="120" w:after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CF157B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="00CF157B">
              <w:rPr>
                <w:rFonts w:ascii="Verdana" w:hAnsi="Verdana"/>
                <w:sz w:val="18"/>
                <w:szCs w:val="18"/>
              </w:rPr>
              <w:t>45</w:t>
            </w:r>
            <w:r>
              <w:rPr>
                <w:rFonts w:ascii="Verdana" w:hAnsi="Verdana"/>
                <w:sz w:val="18"/>
                <w:szCs w:val="18"/>
              </w:rPr>
              <w:t>–17:00</w:t>
            </w:r>
          </w:p>
        </w:tc>
        <w:tc>
          <w:tcPr>
            <w:tcW w:w="8080" w:type="dxa"/>
            <w:shd w:val="clear" w:color="auto" w:fill="auto"/>
          </w:tcPr>
          <w:p w:rsidR="00BD4BA6" w:rsidRDefault="001E25DD" w:rsidP="006D7A5C">
            <w:pPr>
              <w:spacing w:before="120" w:after="240"/>
              <w:rPr>
                <w:rFonts w:ascii="Verdana" w:hAnsi="Verdana"/>
                <w:sz w:val="20"/>
              </w:rPr>
            </w:pPr>
            <w:r w:rsidRPr="001E25DD">
              <w:rPr>
                <w:rFonts w:ascii="Verdana" w:hAnsi="Verdana"/>
                <w:b/>
                <w:sz w:val="20"/>
              </w:rPr>
              <w:t>ePing</w:t>
            </w:r>
            <w:r w:rsidR="005C70D9">
              <w:rPr>
                <w:rFonts w:ascii="Verdana" w:hAnsi="Verdana"/>
                <w:b/>
                <w:sz w:val="20"/>
              </w:rPr>
              <w:t xml:space="preserve">: </w:t>
            </w:r>
            <w:r w:rsidR="00807B33">
              <w:rPr>
                <w:rFonts w:ascii="Verdana" w:hAnsi="Verdana"/>
                <w:b/>
                <w:sz w:val="20"/>
              </w:rPr>
              <w:t>SPS &amp; TBT notification alert system</w:t>
            </w:r>
            <w:r w:rsidR="00BD4BA6">
              <w:rPr>
                <w:rFonts w:ascii="Verdana" w:hAnsi="Verdana"/>
                <w:sz w:val="20"/>
              </w:rPr>
              <w:t xml:space="preserve"> </w:t>
            </w:r>
          </w:p>
          <w:p w:rsidR="0003661E" w:rsidRPr="00807B33" w:rsidRDefault="00CE78A0" w:rsidP="006D7A5C">
            <w:pPr>
              <w:pStyle w:val="ListParagraph"/>
              <w:numPr>
                <w:ilvl w:val="0"/>
                <w:numId w:val="6"/>
              </w:numPr>
              <w:spacing w:before="120" w:after="24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H</w:t>
            </w:r>
            <w:r w:rsidR="005C70D9" w:rsidRPr="00807B33">
              <w:rPr>
                <w:rFonts w:ascii="Verdana" w:hAnsi="Verdana"/>
                <w:sz w:val="20"/>
                <w:lang w:val="en-US"/>
              </w:rPr>
              <w:t>ands on exercises</w:t>
            </w:r>
            <w:r w:rsidR="00807B33" w:rsidRPr="00807B33">
              <w:rPr>
                <w:rFonts w:ascii="Verdana" w:hAnsi="Verdana"/>
                <w:sz w:val="20"/>
                <w:lang w:val="en-US"/>
              </w:rPr>
              <w:t>: registration, sear</w:t>
            </w:r>
            <w:r w:rsidR="00807B33">
              <w:rPr>
                <w:rFonts w:ascii="Verdana" w:hAnsi="Verdana"/>
                <w:sz w:val="20"/>
                <w:lang w:val="en-US"/>
              </w:rPr>
              <w:t xml:space="preserve">ch, sharing notifications </w:t>
            </w:r>
          </w:p>
        </w:tc>
      </w:tr>
    </w:tbl>
    <w:p w:rsidR="006D7A5C" w:rsidRDefault="006D7A5C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080"/>
      </w:tblGrid>
      <w:tr w:rsidR="007C6ADF" w:rsidRPr="005D2FA2" w:rsidTr="00F81280">
        <w:trPr>
          <w:trHeight w:val="567"/>
        </w:trPr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C6ADF" w:rsidRPr="005D2FA2" w:rsidRDefault="007C6ADF" w:rsidP="006D7A5C">
            <w:pPr>
              <w:spacing w:before="120" w:after="240"/>
              <w:jc w:val="center"/>
              <w:rPr>
                <w:rFonts w:ascii="Verdana" w:hAnsi="Verdana"/>
                <w:b/>
                <w:caps/>
                <w:szCs w:val="22"/>
              </w:rPr>
            </w:pPr>
            <w:r>
              <w:rPr>
                <w:rFonts w:ascii="Verdana" w:hAnsi="Verdana"/>
                <w:b/>
                <w:caps/>
                <w:szCs w:val="22"/>
              </w:rPr>
              <w:lastRenderedPageBreak/>
              <w:t xml:space="preserve">Day 2 </w:t>
            </w:r>
          </w:p>
        </w:tc>
      </w:tr>
      <w:tr w:rsidR="007C6ADF" w:rsidRPr="005D2FA2" w:rsidTr="00F81280">
        <w:trPr>
          <w:trHeight w:val="170"/>
        </w:trPr>
        <w:tc>
          <w:tcPr>
            <w:tcW w:w="1526" w:type="dxa"/>
            <w:shd w:val="clear" w:color="auto" w:fill="auto"/>
          </w:tcPr>
          <w:p w:rsidR="007C6ADF" w:rsidRPr="00804655" w:rsidRDefault="007C6ADF" w:rsidP="006D7A5C">
            <w:pPr>
              <w:spacing w:before="120" w:after="24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8"/>
                <w:szCs w:val="18"/>
              </w:rPr>
              <w:t>9:00–</w:t>
            </w:r>
            <w:r w:rsidR="00BF0247">
              <w:rPr>
                <w:rFonts w:ascii="Verdana" w:hAnsi="Verdana"/>
                <w:sz w:val="18"/>
                <w:szCs w:val="18"/>
              </w:rPr>
              <w:t>1</w:t>
            </w:r>
            <w:r w:rsidR="00064014">
              <w:rPr>
                <w:rFonts w:ascii="Verdana" w:hAnsi="Verdana"/>
                <w:sz w:val="18"/>
                <w:szCs w:val="18"/>
              </w:rPr>
              <w:t>0:30</w:t>
            </w:r>
          </w:p>
        </w:tc>
        <w:tc>
          <w:tcPr>
            <w:tcW w:w="8080" w:type="dxa"/>
            <w:shd w:val="clear" w:color="auto" w:fill="auto"/>
          </w:tcPr>
          <w:p w:rsidR="00BD4BA6" w:rsidRDefault="00BD4BA6" w:rsidP="006D7A5C">
            <w:pPr>
              <w:tabs>
                <w:tab w:val="clear" w:pos="720"/>
              </w:tabs>
              <w:spacing w:before="120" w:after="24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Transparency recap</w:t>
            </w:r>
          </w:p>
          <w:p w:rsidR="00807B33" w:rsidRDefault="00807B33" w:rsidP="006D7A5C">
            <w:pPr>
              <w:spacing w:before="120" w:after="240"/>
              <w:rPr>
                <w:rFonts w:ascii="Verdana" w:hAnsi="Verdana"/>
                <w:sz w:val="20"/>
              </w:rPr>
            </w:pPr>
            <w:r w:rsidRPr="001E25DD">
              <w:rPr>
                <w:rFonts w:ascii="Verdana" w:hAnsi="Verdana"/>
                <w:b/>
                <w:sz w:val="20"/>
              </w:rPr>
              <w:t>ePing</w:t>
            </w:r>
            <w:r>
              <w:rPr>
                <w:rFonts w:ascii="Verdana" w:hAnsi="Verdana"/>
                <w:b/>
                <w:sz w:val="20"/>
              </w:rPr>
              <w:t>: SPS &amp; TBT notification alert system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  <w:p w:rsidR="00CE78A0" w:rsidRPr="00CE78A0" w:rsidRDefault="00CE78A0" w:rsidP="006D7A5C">
            <w:pPr>
              <w:pStyle w:val="ListParagraph"/>
              <w:numPr>
                <w:ilvl w:val="0"/>
                <w:numId w:val="6"/>
              </w:numPr>
              <w:spacing w:before="120"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Hands-on exercises (continued): U</w:t>
            </w:r>
            <w:r w:rsidR="00807B33" w:rsidRPr="00807B33">
              <w:rPr>
                <w:rFonts w:ascii="Verdana" w:hAnsi="Verdana"/>
                <w:sz w:val="20"/>
              </w:rPr>
              <w:t>se of national and international fora to</w:t>
            </w:r>
            <w:r w:rsidR="00807B33">
              <w:rPr>
                <w:rFonts w:ascii="Verdana" w:hAnsi="Verdana"/>
                <w:sz w:val="20"/>
              </w:rPr>
              <w:t xml:space="preserve"> share information on notifications</w:t>
            </w:r>
          </w:p>
        </w:tc>
      </w:tr>
      <w:tr w:rsidR="007C6ADF" w:rsidRPr="005D2FA2" w:rsidTr="00F81280">
        <w:trPr>
          <w:trHeight w:val="425"/>
        </w:trPr>
        <w:tc>
          <w:tcPr>
            <w:tcW w:w="1526" w:type="dxa"/>
            <w:shd w:val="clear" w:color="auto" w:fill="auto"/>
          </w:tcPr>
          <w:p w:rsidR="007C6ADF" w:rsidRPr="00804655" w:rsidRDefault="007C6ADF" w:rsidP="006D7A5C">
            <w:pPr>
              <w:spacing w:before="120" w:after="24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10:30</w:t>
            </w:r>
            <w:r w:rsidRPr="005F4244">
              <w:rPr>
                <w:rFonts w:ascii="Verdana" w:hAnsi="Verdana"/>
                <w:sz w:val="20"/>
              </w:rPr>
              <w:t>–</w:t>
            </w:r>
            <w:r>
              <w:rPr>
                <w:rFonts w:ascii="Verdana" w:hAnsi="Verdana"/>
                <w:sz w:val="18"/>
                <w:szCs w:val="18"/>
              </w:rPr>
              <w:t>10:45</w:t>
            </w:r>
          </w:p>
        </w:tc>
        <w:tc>
          <w:tcPr>
            <w:tcW w:w="8080" w:type="dxa"/>
            <w:shd w:val="clear" w:color="auto" w:fill="auto"/>
          </w:tcPr>
          <w:p w:rsidR="007C6ADF" w:rsidRPr="00B04018" w:rsidRDefault="007C6ADF" w:rsidP="006D7A5C">
            <w:pPr>
              <w:tabs>
                <w:tab w:val="clear" w:pos="720"/>
              </w:tabs>
              <w:spacing w:before="120" w:after="240"/>
              <w:jc w:val="left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</w:rPr>
              <w:t>Coffee break</w:t>
            </w:r>
          </w:p>
        </w:tc>
      </w:tr>
      <w:tr w:rsidR="007C6ADF" w:rsidRPr="005D2FA2" w:rsidTr="00F81280">
        <w:trPr>
          <w:trHeight w:val="425"/>
        </w:trPr>
        <w:tc>
          <w:tcPr>
            <w:tcW w:w="1526" w:type="dxa"/>
            <w:shd w:val="clear" w:color="auto" w:fill="auto"/>
          </w:tcPr>
          <w:p w:rsidR="007C6ADF" w:rsidRPr="00804655" w:rsidRDefault="007C6ADF" w:rsidP="006D7A5C">
            <w:pPr>
              <w:spacing w:before="120" w:after="24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10:45-12:</w:t>
            </w:r>
            <w:r w:rsidR="00CF157B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8080" w:type="dxa"/>
            <w:shd w:val="clear" w:color="auto" w:fill="auto"/>
          </w:tcPr>
          <w:p w:rsidR="007C6ADF" w:rsidRDefault="00807B33" w:rsidP="006D7A5C">
            <w:pPr>
              <w:tabs>
                <w:tab w:val="clear" w:pos="720"/>
              </w:tabs>
              <w:spacing w:before="120" w:after="24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Options for </w:t>
            </w:r>
            <w:r w:rsidR="00CE78A0">
              <w:rPr>
                <w:rFonts w:ascii="Verdana" w:hAnsi="Verdana"/>
                <w:b/>
                <w:sz w:val="20"/>
              </w:rPr>
              <w:t>reacting to trading partners' TBT measures</w:t>
            </w:r>
          </w:p>
          <w:p w:rsidR="00CE78A0" w:rsidRPr="00CE78A0" w:rsidRDefault="00CE78A0" w:rsidP="006D7A5C">
            <w:pPr>
              <w:pStyle w:val="ListParagraph"/>
              <w:numPr>
                <w:ilvl w:val="0"/>
                <w:numId w:val="6"/>
              </w:numPr>
              <w:spacing w:before="120" w:after="240"/>
              <w:rPr>
                <w:rFonts w:ascii="Verdana" w:hAnsi="Verdana"/>
                <w:sz w:val="20"/>
              </w:rPr>
            </w:pPr>
            <w:r w:rsidRPr="00CE78A0">
              <w:rPr>
                <w:rFonts w:ascii="Verdana" w:hAnsi="Verdana"/>
                <w:sz w:val="20"/>
              </w:rPr>
              <w:t>Tools and procedures available through the WTO</w:t>
            </w:r>
          </w:p>
          <w:p w:rsidR="00CE78A0" w:rsidRPr="00CE78A0" w:rsidRDefault="00CE78A0" w:rsidP="006D7A5C">
            <w:pPr>
              <w:pStyle w:val="ListParagraph"/>
              <w:numPr>
                <w:ilvl w:val="0"/>
                <w:numId w:val="6"/>
              </w:numPr>
              <w:spacing w:before="120" w:after="240"/>
              <w:rPr>
                <w:rFonts w:ascii="Verdana" w:hAnsi="Verdana"/>
                <w:sz w:val="20"/>
              </w:rPr>
            </w:pPr>
            <w:r w:rsidRPr="00CE78A0">
              <w:rPr>
                <w:rFonts w:ascii="Verdana" w:hAnsi="Verdana"/>
                <w:sz w:val="20"/>
              </w:rPr>
              <w:t>Sample trade concerns raised in the TBT Committe</w:t>
            </w:r>
            <w:r>
              <w:rPr>
                <w:rFonts w:ascii="Verdana" w:hAnsi="Verdana"/>
                <w:sz w:val="20"/>
              </w:rPr>
              <w:t>e</w:t>
            </w:r>
          </w:p>
          <w:p w:rsidR="00BD4BA6" w:rsidRPr="00CF157B" w:rsidRDefault="00BD4BA6" w:rsidP="006D7A5C">
            <w:pPr>
              <w:pStyle w:val="ListParagraph"/>
              <w:numPr>
                <w:ilvl w:val="0"/>
                <w:numId w:val="6"/>
              </w:numPr>
              <w:spacing w:before="120" w:after="240"/>
              <w:rPr>
                <w:rFonts w:ascii="Verdana" w:hAnsi="Verdana"/>
                <w:sz w:val="20"/>
              </w:rPr>
            </w:pPr>
            <w:r w:rsidRPr="00CF157B">
              <w:rPr>
                <w:rFonts w:ascii="Verdana" w:hAnsi="Verdana"/>
                <w:sz w:val="20"/>
              </w:rPr>
              <w:t xml:space="preserve">Group exercise </w:t>
            </w:r>
            <w:r w:rsidR="00CE78A0">
              <w:rPr>
                <w:rFonts w:ascii="Verdana" w:hAnsi="Verdana"/>
                <w:sz w:val="20"/>
              </w:rPr>
              <w:t xml:space="preserve">based on sample notification </w:t>
            </w:r>
            <w:r w:rsidRPr="00CF157B">
              <w:rPr>
                <w:rFonts w:ascii="Verdana" w:hAnsi="Verdana"/>
                <w:sz w:val="20"/>
              </w:rPr>
              <w:t>and discussion</w:t>
            </w:r>
          </w:p>
        </w:tc>
      </w:tr>
      <w:tr w:rsidR="007C6ADF" w:rsidRPr="005D2FA2" w:rsidTr="00F81280">
        <w:trPr>
          <w:trHeight w:val="427"/>
        </w:trPr>
        <w:tc>
          <w:tcPr>
            <w:tcW w:w="1526" w:type="dxa"/>
            <w:shd w:val="clear" w:color="auto" w:fill="auto"/>
          </w:tcPr>
          <w:p w:rsidR="007C6ADF" w:rsidRPr="00804655" w:rsidRDefault="007C6ADF" w:rsidP="006D7A5C">
            <w:pPr>
              <w:spacing w:before="120" w:after="24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</w:t>
            </w:r>
            <w:r w:rsidR="00C12167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0–13:30</w:t>
            </w:r>
          </w:p>
        </w:tc>
        <w:tc>
          <w:tcPr>
            <w:tcW w:w="8080" w:type="dxa"/>
            <w:shd w:val="clear" w:color="auto" w:fill="auto"/>
          </w:tcPr>
          <w:p w:rsidR="007C6ADF" w:rsidRPr="005D2FA2" w:rsidRDefault="007C6ADF" w:rsidP="006D7A5C">
            <w:pPr>
              <w:spacing w:before="120" w:after="24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Lunch Break</w:t>
            </w:r>
          </w:p>
        </w:tc>
      </w:tr>
      <w:tr w:rsidR="00CE78A0" w:rsidRPr="005D2FA2" w:rsidTr="00F81280">
        <w:trPr>
          <w:trHeight w:val="393"/>
        </w:trPr>
        <w:tc>
          <w:tcPr>
            <w:tcW w:w="1526" w:type="dxa"/>
            <w:shd w:val="clear" w:color="auto" w:fill="auto"/>
          </w:tcPr>
          <w:p w:rsidR="00CE78A0" w:rsidRDefault="00CE78A0" w:rsidP="006D7A5C">
            <w:pPr>
              <w:spacing w:before="120" w:after="24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13:30–14.30</w:t>
            </w:r>
          </w:p>
        </w:tc>
        <w:tc>
          <w:tcPr>
            <w:tcW w:w="8080" w:type="dxa"/>
            <w:shd w:val="clear" w:color="auto" w:fill="auto"/>
          </w:tcPr>
          <w:p w:rsidR="00CE78A0" w:rsidRDefault="00CE78A0" w:rsidP="006D7A5C">
            <w:pPr>
              <w:tabs>
                <w:tab w:val="clear" w:pos="720"/>
              </w:tabs>
              <w:spacing w:before="120" w:after="24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Options for reacting to trading partners' TBT measures</w:t>
            </w:r>
          </w:p>
          <w:p w:rsidR="00CE78A0" w:rsidRPr="00CF157B" w:rsidRDefault="00CE78A0" w:rsidP="006D7A5C">
            <w:pPr>
              <w:pStyle w:val="ListParagraph"/>
              <w:numPr>
                <w:ilvl w:val="0"/>
                <w:numId w:val="6"/>
              </w:numPr>
              <w:spacing w:before="120" w:after="240"/>
              <w:rPr>
                <w:rFonts w:ascii="Verdana" w:hAnsi="Verdana"/>
                <w:sz w:val="20"/>
              </w:rPr>
            </w:pPr>
            <w:r w:rsidRPr="00CF157B">
              <w:rPr>
                <w:rFonts w:ascii="Verdana" w:hAnsi="Verdana"/>
                <w:sz w:val="20"/>
              </w:rPr>
              <w:t>Group exercise</w:t>
            </w:r>
            <w:r>
              <w:rPr>
                <w:rFonts w:ascii="Verdana" w:hAnsi="Verdana"/>
                <w:sz w:val="20"/>
              </w:rPr>
              <w:t xml:space="preserve"> based on sample notification</w:t>
            </w:r>
            <w:r w:rsidRPr="00CF157B">
              <w:rPr>
                <w:rFonts w:ascii="Verdana" w:hAnsi="Verdana"/>
                <w:sz w:val="20"/>
              </w:rPr>
              <w:t xml:space="preserve"> and discussion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2F62F2"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sz w:val="20"/>
              </w:rPr>
              <w:t>continued</w:t>
            </w:r>
            <w:r w:rsidR="002F62F2">
              <w:rPr>
                <w:rFonts w:ascii="Verdana" w:hAnsi="Verdana"/>
                <w:sz w:val="20"/>
              </w:rPr>
              <w:t>)</w:t>
            </w:r>
          </w:p>
        </w:tc>
      </w:tr>
      <w:tr w:rsidR="00CE78A0" w:rsidRPr="005D2FA2" w:rsidTr="00F81280">
        <w:trPr>
          <w:trHeight w:val="393"/>
        </w:trPr>
        <w:tc>
          <w:tcPr>
            <w:tcW w:w="1526" w:type="dxa"/>
            <w:shd w:val="clear" w:color="auto" w:fill="auto"/>
          </w:tcPr>
          <w:p w:rsidR="00CE78A0" w:rsidRPr="00804655" w:rsidRDefault="00CE78A0" w:rsidP="006D7A5C">
            <w:pPr>
              <w:spacing w:before="120" w:after="24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14.30 – 15.30</w:t>
            </w:r>
          </w:p>
        </w:tc>
        <w:tc>
          <w:tcPr>
            <w:tcW w:w="8080" w:type="dxa"/>
            <w:shd w:val="clear" w:color="auto" w:fill="auto"/>
          </w:tcPr>
          <w:p w:rsidR="00CE78A0" w:rsidRDefault="00CE78A0" w:rsidP="006D7A5C">
            <w:pPr>
              <w:spacing w:before="120" w:after="24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Discussion on how to ensure compliance and draw benefits from the WTO TBT transparency framework</w:t>
            </w:r>
          </w:p>
          <w:p w:rsidR="00CE78A0" w:rsidRPr="00DC58AE" w:rsidRDefault="00CE78A0" w:rsidP="006D7A5C">
            <w:pPr>
              <w:pStyle w:val="ListParagraph"/>
              <w:numPr>
                <w:ilvl w:val="0"/>
                <w:numId w:val="6"/>
              </w:numPr>
              <w:spacing w:before="120" w:after="24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Wrap up and i</w:t>
            </w:r>
            <w:r w:rsidRPr="00DC58AE">
              <w:rPr>
                <w:rFonts w:ascii="Verdana" w:hAnsi="Verdana"/>
                <w:sz w:val="20"/>
              </w:rPr>
              <w:t>dentification of next steps</w:t>
            </w:r>
            <w:r w:rsidRPr="00DC58AE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  <w:tr w:rsidR="00CE78A0" w:rsidRPr="005D2FA2" w:rsidTr="00F81280">
        <w:trPr>
          <w:trHeight w:val="586"/>
        </w:trPr>
        <w:tc>
          <w:tcPr>
            <w:tcW w:w="1526" w:type="dxa"/>
            <w:shd w:val="clear" w:color="auto" w:fill="auto"/>
          </w:tcPr>
          <w:p w:rsidR="00CE78A0" w:rsidRPr="0012150B" w:rsidRDefault="00CE78A0" w:rsidP="006D7A5C">
            <w:pPr>
              <w:spacing w:before="120" w:after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15:30</w:t>
            </w:r>
            <w:r w:rsidRPr="005F4244">
              <w:rPr>
                <w:rFonts w:ascii="Verdana" w:hAnsi="Verdana"/>
                <w:sz w:val="20"/>
              </w:rPr>
              <w:t>–</w:t>
            </w:r>
            <w:r>
              <w:rPr>
                <w:rFonts w:ascii="Verdana" w:hAnsi="Verdana"/>
                <w:sz w:val="18"/>
                <w:szCs w:val="18"/>
              </w:rPr>
              <w:t>16:00</w:t>
            </w:r>
          </w:p>
        </w:tc>
        <w:tc>
          <w:tcPr>
            <w:tcW w:w="8080" w:type="dxa"/>
            <w:shd w:val="clear" w:color="auto" w:fill="auto"/>
          </w:tcPr>
          <w:p w:rsidR="00CE78A0" w:rsidRPr="00DC58AE" w:rsidRDefault="00CE78A0" w:rsidP="006D7A5C">
            <w:pPr>
              <w:spacing w:before="120" w:after="240"/>
              <w:rPr>
                <w:rFonts w:ascii="Verdana" w:hAnsi="Verdana"/>
                <w:sz w:val="20"/>
              </w:rPr>
            </w:pPr>
            <w:r w:rsidRPr="00CF157B">
              <w:rPr>
                <w:rFonts w:ascii="Verdana" w:hAnsi="Verdana"/>
                <w:b/>
                <w:sz w:val="20"/>
              </w:rPr>
              <w:t>Evaluation and closure</w:t>
            </w:r>
          </w:p>
        </w:tc>
      </w:tr>
    </w:tbl>
    <w:p w:rsidR="00AE72EC" w:rsidRDefault="00AE72EC">
      <w:pPr>
        <w:rPr>
          <w:rFonts w:ascii="Verdana" w:hAnsi="Verdana"/>
        </w:rPr>
      </w:pPr>
    </w:p>
    <w:p w:rsidR="00AE72EC" w:rsidRDefault="00AE72EC">
      <w:pPr>
        <w:tabs>
          <w:tab w:val="clear" w:pos="720"/>
        </w:tabs>
        <w:jc w:val="left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3459A0" w:rsidRDefault="003459A0">
      <w:pPr>
        <w:rPr>
          <w:rFonts w:ascii="Verdana" w:hAnsi="Verdana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38"/>
      </w:tblGrid>
      <w:tr w:rsidR="0044689A" w:rsidRPr="005D2FA2" w:rsidTr="0003661E">
        <w:trPr>
          <w:trHeight w:val="567"/>
        </w:trPr>
        <w:tc>
          <w:tcPr>
            <w:tcW w:w="9606" w:type="dxa"/>
            <w:gridSpan w:val="2"/>
            <w:shd w:val="clear" w:color="auto" w:fill="D9D9D9"/>
          </w:tcPr>
          <w:p w:rsidR="0044689A" w:rsidRPr="005D2FA2" w:rsidRDefault="000518C9" w:rsidP="00FE3DF0">
            <w:pPr>
              <w:spacing w:before="120" w:after="120"/>
              <w:jc w:val="center"/>
              <w:rPr>
                <w:rFonts w:ascii="Verdana" w:hAnsi="Verdana"/>
                <w:b/>
                <w:caps/>
                <w:szCs w:val="22"/>
              </w:rPr>
            </w:pPr>
            <w:r>
              <w:rPr>
                <w:rFonts w:ascii="Verdana" w:hAnsi="Verdana"/>
                <w:b/>
                <w:caps/>
                <w:szCs w:val="22"/>
              </w:rPr>
              <w:t>day 3</w:t>
            </w:r>
            <w:r w:rsidR="00974FD0">
              <w:rPr>
                <w:rFonts w:ascii="Verdana" w:hAnsi="Verdana"/>
                <w:b/>
                <w:caps/>
                <w:szCs w:val="22"/>
              </w:rPr>
              <w:t xml:space="preserve"> </w:t>
            </w:r>
            <w:r w:rsidR="00DC58AE">
              <w:rPr>
                <w:rFonts w:ascii="Verdana" w:hAnsi="Verdana"/>
                <w:b/>
                <w:caps/>
                <w:szCs w:val="22"/>
              </w:rPr>
              <w:t>(for officials directly involved in transparency matters)</w:t>
            </w:r>
          </w:p>
        </w:tc>
      </w:tr>
      <w:tr w:rsidR="0044689A" w:rsidRPr="005D2FA2" w:rsidTr="0003661E">
        <w:trPr>
          <w:trHeight w:val="497"/>
        </w:trPr>
        <w:tc>
          <w:tcPr>
            <w:tcW w:w="1668" w:type="dxa"/>
            <w:shd w:val="clear" w:color="auto" w:fill="auto"/>
          </w:tcPr>
          <w:p w:rsidR="0044689A" w:rsidRPr="005F4244" w:rsidRDefault="0044689A" w:rsidP="00FE3DF0">
            <w:pPr>
              <w:spacing w:before="120" w:after="12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Pr="005F4244">
              <w:rPr>
                <w:rFonts w:ascii="Verdana" w:hAnsi="Verdana"/>
                <w:sz w:val="20"/>
              </w:rPr>
              <w:t>:</w:t>
            </w:r>
            <w:r>
              <w:rPr>
                <w:rFonts w:ascii="Verdana" w:hAnsi="Verdana"/>
                <w:sz w:val="20"/>
              </w:rPr>
              <w:t>0</w:t>
            </w:r>
            <w:r w:rsidRPr="005F4244">
              <w:rPr>
                <w:rFonts w:ascii="Verdana" w:hAnsi="Verdana"/>
                <w:sz w:val="20"/>
              </w:rPr>
              <w:t>0</w:t>
            </w:r>
            <w:r w:rsidRPr="00FF4090">
              <w:rPr>
                <w:rFonts w:ascii="Verdana" w:hAnsi="Verdana"/>
                <w:sz w:val="20"/>
              </w:rPr>
              <w:t>–</w:t>
            </w:r>
            <w:r w:rsidR="00DC58AE">
              <w:rPr>
                <w:rFonts w:ascii="Verdana" w:hAnsi="Verdana"/>
                <w:sz w:val="20"/>
              </w:rPr>
              <w:t>10.45</w:t>
            </w:r>
          </w:p>
        </w:tc>
        <w:tc>
          <w:tcPr>
            <w:tcW w:w="7938" w:type="dxa"/>
            <w:shd w:val="clear" w:color="auto" w:fill="auto"/>
          </w:tcPr>
          <w:p w:rsidR="006F6EAD" w:rsidRPr="006F6EAD" w:rsidRDefault="00DC58AE" w:rsidP="00FE3DF0">
            <w:pPr>
              <w:spacing w:before="120" w:after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Demonstration of enhanced features for ePing Admins</w:t>
            </w:r>
          </w:p>
          <w:p w:rsidR="001B0D31" w:rsidRDefault="00FB0ACD" w:rsidP="003459A0">
            <w:pPr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Introduction</w:t>
            </w:r>
            <w:r w:rsidR="00DC58AE">
              <w:rPr>
                <w:rFonts w:ascii="Verdana" w:hAnsi="Verdana"/>
                <w:sz w:val="20"/>
              </w:rPr>
              <w:t xml:space="preserve"> to ePing Admin functions for</w:t>
            </w:r>
            <w:r w:rsidR="0003661E">
              <w:rPr>
                <w:rFonts w:ascii="Verdana" w:hAnsi="Verdana"/>
                <w:sz w:val="20"/>
              </w:rPr>
              <w:t xml:space="preserve"> SPS and TBT Enquiry Point officials</w:t>
            </w:r>
            <w:r w:rsidR="000518C9">
              <w:rPr>
                <w:rFonts w:ascii="Verdana" w:hAnsi="Verdana"/>
                <w:sz w:val="20"/>
              </w:rPr>
              <w:t xml:space="preserve"> </w:t>
            </w:r>
          </w:p>
          <w:p w:rsidR="0044689A" w:rsidRDefault="00A2545F" w:rsidP="003459A0">
            <w:pPr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Interactive e</w:t>
            </w:r>
            <w:r w:rsidR="002630EC">
              <w:rPr>
                <w:rFonts w:ascii="Verdana" w:hAnsi="Verdana"/>
                <w:sz w:val="20"/>
              </w:rPr>
              <w:t xml:space="preserve">xercise on </w:t>
            </w:r>
            <w:r w:rsidR="00974FD0">
              <w:rPr>
                <w:rFonts w:ascii="Verdana" w:hAnsi="Verdana"/>
                <w:sz w:val="20"/>
              </w:rPr>
              <w:t>using the ePing platform to share information at the national and international level</w:t>
            </w:r>
          </w:p>
          <w:p w:rsidR="0003661E" w:rsidRDefault="0003661E" w:rsidP="003459A0">
            <w:pPr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Interactive exercise on creating and managing domestic user groups</w:t>
            </w:r>
          </w:p>
          <w:p w:rsidR="00FF4090" w:rsidRPr="00C25B1C" w:rsidRDefault="00974FD0" w:rsidP="003459A0">
            <w:pPr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Discussion on outreach to domestic users</w:t>
            </w:r>
            <w:r w:rsidR="0003661E">
              <w:rPr>
                <w:rFonts w:ascii="Verdana" w:hAnsi="Verdana"/>
                <w:sz w:val="20"/>
              </w:rPr>
              <w:t xml:space="preserve"> and promotion of ePing in </w:t>
            </w:r>
            <w:r w:rsidR="00FF4090">
              <w:rPr>
                <w:rFonts w:ascii="Verdana" w:hAnsi="Verdana"/>
                <w:sz w:val="20"/>
              </w:rPr>
              <w:t>South Africa</w:t>
            </w:r>
          </w:p>
        </w:tc>
      </w:tr>
      <w:tr w:rsidR="00DC58AE" w:rsidRPr="005D2FA2" w:rsidTr="0003661E">
        <w:trPr>
          <w:trHeight w:val="497"/>
        </w:trPr>
        <w:tc>
          <w:tcPr>
            <w:tcW w:w="1668" w:type="dxa"/>
            <w:shd w:val="clear" w:color="auto" w:fill="auto"/>
          </w:tcPr>
          <w:p w:rsidR="00DC58AE" w:rsidRDefault="00DC58AE" w:rsidP="00FE3DF0">
            <w:pPr>
              <w:spacing w:before="120" w:after="12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10.45-11.00</w:t>
            </w:r>
          </w:p>
        </w:tc>
        <w:tc>
          <w:tcPr>
            <w:tcW w:w="7938" w:type="dxa"/>
            <w:shd w:val="clear" w:color="auto" w:fill="auto"/>
          </w:tcPr>
          <w:p w:rsidR="00DC58AE" w:rsidRDefault="00DC58AE" w:rsidP="00FF4090">
            <w:pPr>
              <w:spacing w:before="120" w:after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Coffee break</w:t>
            </w:r>
          </w:p>
        </w:tc>
      </w:tr>
      <w:tr w:rsidR="00FF4090" w:rsidRPr="005D2FA2" w:rsidTr="0003661E">
        <w:trPr>
          <w:trHeight w:val="497"/>
        </w:trPr>
        <w:tc>
          <w:tcPr>
            <w:tcW w:w="1668" w:type="dxa"/>
            <w:shd w:val="clear" w:color="auto" w:fill="auto"/>
          </w:tcPr>
          <w:p w:rsidR="00FF4090" w:rsidRDefault="00FF4090" w:rsidP="00FE3DF0">
            <w:pPr>
              <w:spacing w:before="120" w:after="12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11:</w:t>
            </w:r>
            <w:r w:rsidR="00DC58AE">
              <w:rPr>
                <w:rFonts w:ascii="Verdana" w:hAnsi="Verdana"/>
                <w:sz w:val="20"/>
              </w:rPr>
              <w:t>00</w:t>
            </w:r>
            <w:r>
              <w:rPr>
                <w:rFonts w:ascii="Verdana" w:hAnsi="Verdana"/>
                <w:sz w:val="20"/>
              </w:rPr>
              <w:t>-12:</w:t>
            </w:r>
            <w:r w:rsidR="00DC58AE">
              <w:rPr>
                <w:rFonts w:ascii="Verdana" w:hAnsi="Verdana"/>
                <w:sz w:val="20"/>
              </w:rPr>
              <w:t>00</w:t>
            </w:r>
          </w:p>
        </w:tc>
        <w:tc>
          <w:tcPr>
            <w:tcW w:w="7938" w:type="dxa"/>
            <w:shd w:val="clear" w:color="auto" w:fill="auto"/>
          </w:tcPr>
          <w:p w:rsidR="00FF4090" w:rsidRDefault="003459A0" w:rsidP="00FF4090">
            <w:pPr>
              <w:spacing w:before="120" w:after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Triennial Review follow up</w:t>
            </w:r>
          </w:p>
          <w:p w:rsidR="00FF4090" w:rsidRDefault="006D7A5C" w:rsidP="006D7A5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  <w:sz w:val="20"/>
              </w:rPr>
            </w:pPr>
            <w:r w:rsidRPr="006D7A5C">
              <w:rPr>
                <w:rFonts w:ascii="Verdana" w:eastAsia="Times New Roman" w:hAnsi="Verdana" w:cs="Times New Roman"/>
                <w:sz w:val="20"/>
                <w:szCs w:val="20"/>
              </w:rPr>
              <w:t>New Addendum format</w:t>
            </w:r>
          </w:p>
          <w:p w:rsidR="006D7A5C" w:rsidRPr="006D7A5C" w:rsidRDefault="006D7A5C" w:rsidP="006D7A5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TBT-NSS enhancements</w:t>
            </w:r>
          </w:p>
          <w:p w:rsidR="003459A0" w:rsidRPr="00FF4090" w:rsidRDefault="003459A0" w:rsidP="006D7A5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eAgenda</w:t>
            </w:r>
          </w:p>
        </w:tc>
      </w:tr>
    </w:tbl>
    <w:p w:rsidR="0044689A" w:rsidRPr="005D2FA2" w:rsidRDefault="0044689A">
      <w:pPr>
        <w:rPr>
          <w:rFonts w:ascii="Verdana" w:hAnsi="Verdana"/>
        </w:rPr>
      </w:pPr>
    </w:p>
    <w:p w:rsidR="005378E6" w:rsidRDefault="005378E6">
      <w:pPr>
        <w:rPr>
          <w:rFonts w:ascii="Verdana" w:hAnsi="Verdana"/>
        </w:rPr>
      </w:pPr>
    </w:p>
    <w:p w:rsidR="00D53AB0" w:rsidRPr="005D2FA2" w:rsidRDefault="00D53AB0">
      <w:pPr>
        <w:rPr>
          <w:rFonts w:ascii="Verdana" w:hAnsi="Verdana"/>
        </w:rPr>
      </w:pPr>
    </w:p>
    <w:p w:rsidR="00D53AB0" w:rsidRDefault="00D53AB0">
      <w:pPr>
        <w:rPr>
          <w:rFonts w:ascii="Verdana" w:hAnsi="Verdana"/>
        </w:rPr>
      </w:pPr>
    </w:p>
    <w:p w:rsidR="008B1919" w:rsidRDefault="008B1919">
      <w:pPr>
        <w:rPr>
          <w:rFonts w:ascii="Verdana" w:hAnsi="Verdana"/>
        </w:rPr>
      </w:pPr>
    </w:p>
    <w:p w:rsidR="008B1919" w:rsidRDefault="008B1919">
      <w:pPr>
        <w:rPr>
          <w:rFonts w:ascii="Verdana" w:hAnsi="Verdana"/>
        </w:rPr>
      </w:pPr>
    </w:p>
    <w:p w:rsidR="008B1919" w:rsidRDefault="008B1919">
      <w:pPr>
        <w:rPr>
          <w:rFonts w:ascii="Verdana" w:hAnsi="Verdana"/>
        </w:rPr>
      </w:pPr>
    </w:p>
    <w:sectPr w:rsidR="008B1919" w:rsidSect="00527B7B">
      <w:footerReference w:type="default" r:id="rId13"/>
      <w:pgSz w:w="11906" w:h="16838" w:code="9"/>
      <w:pgMar w:top="720" w:right="1440" w:bottom="1440" w:left="1440" w:header="720" w:footer="14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EC7" w:rsidRDefault="00335EC7" w:rsidP="00BA03EB">
      <w:r>
        <w:separator/>
      </w:r>
    </w:p>
  </w:endnote>
  <w:endnote w:type="continuationSeparator" w:id="0">
    <w:p w:rsidR="00335EC7" w:rsidRDefault="00335EC7" w:rsidP="00BA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B7B" w:rsidRDefault="00527B7B" w:rsidP="00527B7B">
    <w:pPr>
      <w:pStyle w:val="Header"/>
      <w:jc w:val="center"/>
      <w:rPr>
        <w:sz w:val="18"/>
      </w:rPr>
    </w:pPr>
  </w:p>
  <w:p w:rsidR="00527B7B" w:rsidRPr="00527B7B" w:rsidRDefault="00527B7B" w:rsidP="00527B7B">
    <w:pPr>
      <w:pStyle w:val="Header"/>
      <w:jc w:val="center"/>
      <w:rPr>
        <w:sz w:val="18"/>
      </w:rPr>
    </w:pPr>
    <w:r w:rsidRPr="00527B7B">
      <w:rPr>
        <w:sz w:val="18"/>
      </w:rPr>
      <w:t>-</w:t>
    </w:r>
    <w:r w:rsidRPr="00527B7B">
      <w:rPr>
        <w:sz w:val="18"/>
      </w:rPr>
      <w:fldChar w:fldCharType="begin"/>
    </w:r>
    <w:r w:rsidRPr="00527B7B">
      <w:rPr>
        <w:sz w:val="18"/>
      </w:rPr>
      <w:instrText>PAGE   \* MERGEFORMAT</w:instrText>
    </w:r>
    <w:r w:rsidRPr="00527B7B">
      <w:rPr>
        <w:sz w:val="18"/>
      </w:rPr>
      <w:fldChar w:fldCharType="separate"/>
    </w:r>
    <w:r w:rsidR="00240298" w:rsidRPr="00240298">
      <w:rPr>
        <w:noProof/>
        <w:sz w:val="18"/>
        <w:lang w:val="es-ES"/>
      </w:rPr>
      <w:t>2</w:t>
    </w:r>
    <w:r w:rsidRPr="00527B7B">
      <w:rPr>
        <w:sz w:val="18"/>
      </w:rPr>
      <w:fldChar w:fldCharType="end"/>
    </w:r>
    <w:r w:rsidRPr="00527B7B">
      <w:rPr>
        <w:sz w:val="1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2FF" w:rsidRDefault="001852F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338F">
      <w:rPr>
        <w:noProof/>
      </w:rPr>
      <w:t>3</w:t>
    </w:r>
    <w:r>
      <w:rPr>
        <w:noProof/>
      </w:rPr>
      <w:fldChar w:fldCharType="end"/>
    </w:r>
  </w:p>
  <w:p w:rsidR="00527B7B" w:rsidRPr="00B04018" w:rsidRDefault="00527B7B" w:rsidP="00527B7B">
    <w:pPr>
      <w:pStyle w:val="Header"/>
      <w:jc w:val="center"/>
      <w:rPr>
        <w:rFonts w:ascii="Verdana" w:hAnsi="Verdan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EC7" w:rsidRDefault="00335EC7" w:rsidP="00BA03EB">
      <w:r>
        <w:separator/>
      </w:r>
    </w:p>
  </w:footnote>
  <w:footnote w:type="continuationSeparator" w:id="0">
    <w:p w:rsidR="00335EC7" w:rsidRDefault="00335EC7" w:rsidP="00BA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B7B" w:rsidRPr="00527B7B" w:rsidRDefault="00527B7B" w:rsidP="00527B7B">
    <w:pPr>
      <w:pBdr>
        <w:bottom w:val="single" w:sz="4" w:space="11" w:color="auto"/>
      </w:pBdr>
      <w:tabs>
        <w:tab w:val="clear" w:pos="720"/>
        <w:tab w:val="left" w:pos="-720"/>
        <w:tab w:val="left" w:pos="284"/>
        <w:tab w:val="center" w:pos="4536"/>
        <w:tab w:val="left" w:pos="7655"/>
        <w:tab w:val="right" w:pos="8931"/>
      </w:tabs>
      <w:jc w:val="left"/>
      <w:rPr>
        <w:noProof/>
        <w:sz w:val="18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75E7E"/>
    <w:multiLevelType w:val="hybridMultilevel"/>
    <w:tmpl w:val="D6C2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22DB7"/>
    <w:multiLevelType w:val="hybridMultilevel"/>
    <w:tmpl w:val="186AF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900D8"/>
    <w:multiLevelType w:val="multilevel"/>
    <w:tmpl w:val="262827C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pStyle w:val="BodyText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pStyle w:val="BodyText2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pStyle w:val="BodyText3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BodyText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5B3D7F56"/>
    <w:multiLevelType w:val="hybridMultilevel"/>
    <w:tmpl w:val="D92AC8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062011"/>
    <w:multiLevelType w:val="hybridMultilevel"/>
    <w:tmpl w:val="B4E8BF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55693"/>
    <w:multiLevelType w:val="hybridMultilevel"/>
    <w:tmpl w:val="9F7499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96475"/>
    <w:multiLevelType w:val="hybridMultilevel"/>
    <w:tmpl w:val="309C1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DA"/>
    <w:rsid w:val="00005E73"/>
    <w:rsid w:val="000103BA"/>
    <w:rsid w:val="00010953"/>
    <w:rsid w:val="0001241E"/>
    <w:rsid w:val="00014C5C"/>
    <w:rsid w:val="000168AA"/>
    <w:rsid w:val="00021165"/>
    <w:rsid w:val="00022130"/>
    <w:rsid w:val="00031ABA"/>
    <w:rsid w:val="0003661E"/>
    <w:rsid w:val="0004277C"/>
    <w:rsid w:val="0004592E"/>
    <w:rsid w:val="000518C9"/>
    <w:rsid w:val="00060385"/>
    <w:rsid w:val="00064014"/>
    <w:rsid w:val="0007260B"/>
    <w:rsid w:val="00082522"/>
    <w:rsid w:val="00083FEC"/>
    <w:rsid w:val="0008454E"/>
    <w:rsid w:val="000906C6"/>
    <w:rsid w:val="00092F49"/>
    <w:rsid w:val="000941FD"/>
    <w:rsid w:val="000A2533"/>
    <w:rsid w:val="000A3221"/>
    <w:rsid w:val="000A50B6"/>
    <w:rsid w:val="000B10A2"/>
    <w:rsid w:val="000B28F8"/>
    <w:rsid w:val="000B37DA"/>
    <w:rsid w:val="000B491A"/>
    <w:rsid w:val="000C702B"/>
    <w:rsid w:val="000F53BD"/>
    <w:rsid w:val="001019F3"/>
    <w:rsid w:val="00104EDC"/>
    <w:rsid w:val="001100FB"/>
    <w:rsid w:val="00111B6E"/>
    <w:rsid w:val="00115AE1"/>
    <w:rsid w:val="0012150B"/>
    <w:rsid w:val="00121DB7"/>
    <w:rsid w:val="00124AE9"/>
    <w:rsid w:val="00130A5C"/>
    <w:rsid w:val="00135485"/>
    <w:rsid w:val="001520A3"/>
    <w:rsid w:val="001521FC"/>
    <w:rsid w:val="001524D9"/>
    <w:rsid w:val="00156507"/>
    <w:rsid w:val="00160482"/>
    <w:rsid w:val="00165057"/>
    <w:rsid w:val="00173473"/>
    <w:rsid w:val="00176634"/>
    <w:rsid w:val="00183D0D"/>
    <w:rsid w:val="00184C29"/>
    <w:rsid w:val="001852FF"/>
    <w:rsid w:val="0018637E"/>
    <w:rsid w:val="001903DE"/>
    <w:rsid w:val="001942C0"/>
    <w:rsid w:val="0019447C"/>
    <w:rsid w:val="001A22C8"/>
    <w:rsid w:val="001A3ED1"/>
    <w:rsid w:val="001B0D31"/>
    <w:rsid w:val="001B1B04"/>
    <w:rsid w:val="001B242E"/>
    <w:rsid w:val="001C3D2C"/>
    <w:rsid w:val="001C7D7F"/>
    <w:rsid w:val="001D0223"/>
    <w:rsid w:val="001E25DD"/>
    <w:rsid w:val="001F1F89"/>
    <w:rsid w:val="001F2346"/>
    <w:rsid w:val="001F384D"/>
    <w:rsid w:val="00200B8E"/>
    <w:rsid w:val="00210D09"/>
    <w:rsid w:val="00224BB6"/>
    <w:rsid w:val="00230033"/>
    <w:rsid w:val="00233625"/>
    <w:rsid w:val="002347BF"/>
    <w:rsid w:val="00237110"/>
    <w:rsid w:val="00240298"/>
    <w:rsid w:val="0024173B"/>
    <w:rsid w:val="00251340"/>
    <w:rsid w:val="00254C9C"/>
    <w:rsid w:val="002630EC"/>
    <w:rsid w:val="00264ABF"/>
    <w:rsid w:val="00264AF1"/>
    <w:rsid w:val="0027057B"/>
    <w:rsid w:val="00281631"/>
    <w:rsid w:val="0029504A"/>
    <w:rsid w:val="00296AB3"/>
    <w:rsid w:val="00296B82"/>
    <w:rsid w:val="002A4307"/>
    <w:rsid w:val="002B68BA"/>
    <w:rsid w:val="002D0310"/>
    <w:rsid w:val="002E3DB3"/>
    <w:rsid w:val="002F35CE"/>
    <w:rsid w:val="002F5802"/>
    <w:rsid w:val="002F5C04"/>
    <w:rsid w:val="002F5C10"/>
    <w:rsid w:val="002F62F2"/>
    <w:rsid w:val="003055B8"/>
    <w:rsid w:val="00314C33"/>
    <w:rsid w:val="003152A5"/>
    <w:rsid w:val="00315570"/>
    <w:rsid w:val="00322577"/>
    <w:rsid w:val="00324431"/>
    <w:rsid w:val="00335EC7"/>
    <w:rsid w:val="00341235"/>
    <w:rsid w:val="003459A0"/>
    <w:rsid w:val="0036736F"/>
    <w:rsid w:val="00367FFA"/>
    <w:rsid w:val="00370BC9"/>
    <w:rsid w:val="00373C1D"/>
    <w:rsid w:val="003872B5"/>
    <w:rsid w:val="00393343"/>
    <w:rsid w:val="00393E59"/>
    <w:rsid w:val="00395988"/>
    <w:rsid w:val="003A0474"/>
    <w:rsid w:val="003A3D59"/>
    <w:rsid w:val="003B6C44"/>
    <w:rsid w:val="003E44FE"/>
    <w:rsid w:val="00400BE5"/>
    <w:rsid w:val="00402338"/>
    <w:rsid w:val="004035DE"/>
    <w:rsid w:val="004078BB"/>
    <w:rsid w:val="00413107"/>
    <w:rsid w:val="004149F4"/>
    <w:rsid w:val="00417BCB"/>
    <w:rsid w:val="00424239"/>
    <w:rsid w:val="0044595F"/>
    <w:rsid w:val="0044689A"/>
    <w:rsid w:val="00454CF2"/>
    <w:rsid w:val="0045621E"/>
    <w:rsid w:val="0045737A"/>
    <w:rsid w:val="00457F9F"/>
    <w:rsid w:val="00484C8C"/>
    <w:rsid w:val="00492FD1"/>
    <w:rsid w:val="004B5205"/>
    <w:rsid w:val="004B5431"/>
    <w:rsid w:val="004B5F6C"/>
    <w:rsid w:val="004C05A1"/>
    <w:rsid w:val="004C1BE2"/>
    <w:rsid w:val="004E7A2E"/>
    <w:rsid w:val="004F133E"/>
    <w:rsid w:val="004F3F96"/>
    <w:rsid w:val="00500AEF"/>
    <w:rsid w:val="0050775A"/>
    <w:rsid w:val="00512BE3"/>
    <w:rsid w:val="00515928"/>
    <w:rsid w:val="00517E90"/>
    <w:rsid w:val="00522869"/>
    <w:rsid w:val="005246DC"/>
    <w:rsid w:val="00527B7B"/>
    <w:rsid w:val="00533E85"/>
    <w:rsid w:val="005366B6"/>
    <w:rsid w:val="00536D21"/>
    <w:rsid w:val="005378E6"/>
    <w:rsid w:val="00546312"/>
    <w:rsid w:val="00546747"/>
    <w:rsid w:val="005518C5"/>
    <w:rsid w:val="005529B1"/>
    <w:rsid w:val="00564757"/>
    <w:rsid w:val="0058631A"/>
    <w:rsid w:val="005B13AF"/>
    <w:rsid w:val="005B67FC"/>
    <w:rsid w:val="005C129A"/>
    <w:rsid w:val="005C1D2A"/>
    <w:rsid w:val="005C1F9B"/>
    <w:rsid w:val="005C70D9"/>
    <w:rsid w:val="005C791F"/>
    <w:rsid w:val="005C7B04"/>
    <w:rsid w:val="005D2FA2"/>
    <w:rsid w:val="005D7020"/>
    <w:rsid w:val="005F3A20"/>
    <w:rsid w:val="005F4244"/>
    <w:rsid w:val="00600F39"/>
    <w:rsid w:val="00602D68"/>
    <w:rsid w:val="006053EF"/>
    <w:rsid w:val="006055E3"/>
    <w:rsid w:val="006063E6"/>
    <w:rsid w:val="00616890"/>
    <w:rsid w:val="006372C1"/>
    <w:rsid w:val="0064021C"/>
    <w:rsid w:val="0064042B"/>
    <w:rsid w:val="006428D1"/>
    <w:rsid w:val="006468CE"/>
    <w:rsid w:val="00647332"/>
    <w:rsid w:val="006523DD"/>
    <w:rsid w:val="00653AEF"/>
    <w:rsid w:val="0065754D"/>
    <w:rsid w:val="00661DD8"/>
    <w:rsid w:val="00663EAE"/>
    <w:rsid w:val="00665A1D"/>
    <w:rsid w:val="00670F33"/>
    <w:rsid w:val="0067647B"/>
    <w:rsid w:val="00676637"/>
    <w:rsid w:val="00683D22"/>
    <w:rsid w:val="006A4A93"/>
    <w:rsid w:val="006A507B"/>
    <w:rsid w:val="006A6E7B"/>
    <w:rsid w:val="006B5EEB"/>
    <w:rsid w:val="006C338F"/>
    <w:rsid w:val="006C4C72"/>
    <w:rsid w:val="006C554F"/>
    <w:rsid w:val="006D1D3B"/>
    <w:rsid w:val="006D6FA9"/>
    <w:rsid w:val="006D7A5C"/>
    <w:rsid w:val="006E7AD9"/>
    <w:rsid w:val="006F60C6"/>
    <w:rsid w:val="006F6EAD"/>
    <w:rsid w:val="0070778E"/>
    <w:rsid w:val="0071309E"/>
    <w:rsid w:val="00714359"/>
    <w:rsid w:val="00731A7A"/>
    <w:rsid w:val="0074588F"/>
    <w:rsid w:val="00745BCC"/>
    <w:rsid w:val="00745EED"/>
    <w:rsid w:val="007521DD"/>
    <w:rsid w:val="00752806"/>
    <w:rsid w:val="00752AC1"/>
    <w:rsid w:val="00757C9E"/>
    <w:rsid w:val="00757EA2"/>
    <w:rsid w:val="00760246"/>
    <w:rsid w:val="00761AFA"/>
    <w:rsid w:val="00772D2C"/>
    <w:rsid w:val="00773DEA"/>
    <w:rsid w:val="007742AF"/>
    <w:rsid w:val="00775AFC"/>
    <w:rsid w:val="00776F0D"/>
    <w:rsid w:val="00782D24"/>
    <w:rsid w:val="00791B95"/>
    <w:rsid w:val="00793BCF"/>
    <w:rsid w:val="00795C3B"/>
    <w:rsid w:val="007A52D3"/>
    <w:rsid w:val="007A613D"/>
    <w:rsid w:val="007B0481"/>
    <w:rsid w:val="007C6ADF"/>
    <w:rsid w:val="007D2D29"/>
    <w:rsid w:val="007D3C70"/>
    <w:rsid w:val="00804655"/>
    <w:rsid w:val="00807B33"/>
    <w:rsid w:val="00825846"/>
    <w:rsid w:val="00825CF2"/>
    <w:rsid w:val="008262E5"/>
    <w:rsid w:val="00827216"/>
    <w:rsid w:val="00827430"/>
    <w:rsid w:val="00827920"/>
    <w:rsid w:val="00834532"/>
    <w:rsid w:val="008370DE"/>
    <w:rsid w:val="008409C8"/>
    <w:rsid w:val="0084127C"/>
    <w:rsid w:val="00842191"/>
    <w:rsid w:val="00853442"/>
    <w:rsid w:val="00854645"/>
    <w:rsid w:val="00860A95"/>
    <w:rsid w:val="00863531"/>
    <w:rsid w:val="00880F74"/>
    <w:rsid w:val="00887E1B"/>
    <w:rsid w:val="008905B7"/>
    <w:rsid w:val="00890F2D"/>
    <w:rsid w:val="008A0B5D"/>
    <w:rsid w:val="008A283D"/>
    <w:rsid w:val="008B1919"/>
    <w:rsid w:val="008B45D4"/>
    <w:rsid w:val="008C3051"/>
    <w:rsid w:val="008C3569"/>
    <w:rsid w:val="008D060C"/>
    <w:rsid w:val="008E4EEF"/>
    <w:rsid w:val="008F3026"/>
    <w:rsid w:val="008F30AF"/>
    <w:rsid w:val="00920A5C"/>
    <w:rsid w:val="0092194C"/>
    <w:rsid w:val="009257F2"/>
    <w:rsid w:val="00934F70"/>
    <w:rsid w:val="00935B5A"/>
    <w:rsid w:val="0093606A"/>
    <w:rsid w:val="00936F02"/>
    <w:rsid w:val="0094198D"/>
    <w:rsid w:val="00944F70"/>
    <w:rsid w:val="0094783A"/>
    <w:rsid w:val="00953D90"/>
    <w:rsid w:val="009662AF"/>
    <w:rsid w:val="00972496"/>
    <w:rsid w:val="009738BE"/>
    <w:rsid w:val="00974FD0"/>
    <w:rsid w:val="0098533E"/>
    <w:rsid w:val="009A2310"/>
    <w:rsid w:val="009A7D11"/>
    <w:rsid w:val="009B22B6"/>
    <w:rsid w:val="009B3220"/>
    <w:rsid w:val="009B611E"/>
    <w:rsid w:val="009C133E"/>
    <w:rsid w:val="009D037D"/>
    <w:rsid w:val="009E4EED"/>
    <w:rsid w:val="009F5483"/>
    <w:rsid w:val="00A10822"/>
    <w:rsid w:val="00A167D3"/>
    <w:rsid w:val="00A2105C"/>
    <w:rsid w:val="00A2545F"/>
    <w:rsid w:val="00A336E5"/>
    <w:rsid w:val="00A37BEF"/>
    <w:rsid w:val="00A529D2"/>
    <w:rsid w:val="00A64D09"/>
    <w:rsid w:val="00A721CF"/>
    <w:rsid w:val="00A96DE3"/>
    <w:rsid w:val="00AA0A62"/>
    <w:rsid w:val="00AA17DF"/>
    <w:rsid w:val="00AA226C"/>
    <w:rsid w:val="00AA34D2"/>
    <w:rsid w:val="00AB5C86"/>
    <w:rsid w:val="00AB7256"/>
    <w:rsid w:val="00AC20C7"/>
    <w:rsid w:val="00AC40F4"/>
    <w:rsid w:val="00AC5EBC"/>
    <w:rsid w:val="00AD12BB"/>
    <w:rsid w:val="00AD2AFB"/>
    <w:rsid w:val="00AE46F7"/>
    <w:rsid w:val="00AE72EC"/>
    <w:rsid w:val="00AE79DA"/>
    <w:rsid w:val="00AF0311"/>
    <w:rsid w:val="00AF491F"/>
    <w:rsid w:val="00B039D6"/>
    <w:rsid w:val="00B04018"/>
    <w:rsid w:val="00B0742C"/>
    <w:rsid w:val="00B20949"/>
    <w:rsid w:val="00B41F16"/>
    <w:rsid w:val="00B44573"/>
    <w:rsid w:val="00B537E4"/>
    <w:rsid w:val="00B60218"/>
    <w:rsid w:val="00B627BE"/>
    <w:rsid w:val="00B67493"/>
    <w:rsid w:val="00B84255"/>
    <w:rsid w:val="00BA03EB"/>
    <w:rsid w:val="00BB420E"/>
    <w:rsid w:val="00BB7040"/>
    <w:rsid w:val="00BC0FAB"/>
    <w:rsid w:val="00BC66AD"/>
    <w:rsid w:val="00BC6DBB"/>
    <w:rsid w:val="00BD0DE6"/>
    <w:rsid w:val="00BD4BA6"/>
    <w:rsid w:val="00BD5426"/>
    <w:rsid w:val="00BD5F97"/>
    <w:rsid w:val="00BF0247"/>
    <w:rsid w:val="00BF2F44"/>
    <w:rsid w:val="00BF7379"/>
    <w:rsid w:val="00C013CE"/>
    <w:rsid w:val="00C06896"/>
    <w:rsid w:val="00C12167"/>
    <w:rsid w:val="00C213CC"/>
    <w:rsid w:val="00C23767"/>
    <w:rsid w:val="00C238D0"/>
    <w:rsid w:val="00C23D50"/>
    <w:rsid w:val="00C24C01"/>
    <w:rsid w:val="00C25725"/>
    <w:rsid w:val="00C25B1C"/>
    <w:rsid w:val="00C26269"/>
    <w:rsid w:val="00C32432"/>
    <w:rsid w:val="00C46178"/>
    <w:rsid w:val="00C5637B"/>
    <w:rsid w:val="00C5796F"/>
    <w:rsid w:val="00C6097A"/>
    <w:rsid w:val="00C617A1"/>
    <w:rsid w:val="00C62734"/>
    <w:rsid w:val="00C72369"/>
    <w:rsid w:val="00C84D06"/>
    <w:rsid w:val="00C917E6"/>
    <w:rsid w:val="00C942B8"/>
    <w:rsid w:val="00C95817"/>
    <w:rsid w:val="00CA311C"/>
    <w:rsid w:val="00CA36B4"/>
    <w:rsid w:val="00CB013E"/>
    <w:rsid w:val="00CB1E60"/>
    <w:rsid w:val="00CB26CF"/>
    <w:rsid w:val="00CB5561"/>
    <w:rsid w:val="00CC7E81"/>
    <w:rsid w:val="00CD2037"/>
    <w:rsid w:val="00CE0A20"/>
    <w:rsid w:val="00CE78A0"/>
    <w:rsid w:val="00CF157B"/>
    <w:rsid w:val="00CF1A82"/>
    <w:rsid w:val="00CF7883"/>
    <w:rsid w:val="00D05E15"/>
    <w:rsid w:val="00D072EE"/>
    <w:rsid w:val="00D07CF7"/>
    <w:rsid w:val="00D13D9B"/>
    <w:rsid w:val="00D20050"/>
    <w:rsid w:val="00D2230B"/>
    <w:rsid w:val="00D23DE6"/>
    <w:rsid w:val="00D258FD"/>
    <w:rsid w:val="00D271B9"/>
    <w:rsid w:val="00D27BEA"/>
    <w:rsid w:val="00D324C7"/>
    <w:rsid w:val="00D36265"/>
    <w:rsid w:val="00D400D1"/>
    <w:rsid w:val="00D453E5"/>
    <w:rsid w:val="00D46B89"/>
    <w:rsid w:val="00D53AB0"/>
    <w:rsid w:val="00D57521"/>
    <w:rsid w:val="00D62985"/>
    <w:rsid w:val="00D635AD"/>
    <w:rsid w:val="00D657C9"/>
    <w:rsid w:val="00D82D0A"/>
    <w:rsid w:val="00D8444F"/>
    <w:rsid w:val="00D853B2"/>
    <w:rsid w:val="00D8598C"/>
    <w:rsid w:val="00D85F6A"/>
    <w:rsid w:val="00DA245E"/>
    <w:rsid w:val="00DA2E0F"/>
    <w:rsid w:val="00DB06AA"/>
    <w:rsid w:val="00DB0750"/>
    <w:rsid w:val="00DC11D9"/>
    <w:rsid w:val="00DC3631"/>
    <w:rsid w:val="00DC58AE"/>
    <w:rsid w:val="00DC5E42"/>
    <w:rsid w:val="00DE2B3F"/>
    <w:rsid w:val="00E00748"/>
    <w:rsid w:val="00E04835"/>
    <w:rsid w:val="00E04BAA"/>
    <w:rsid w:val="00E073C7"/>
    <w:rsid w:val="00E2707C"/>
    <w:rsid w:val="00E32EA3"/>
    <w:rsid w:val="00E34223"/>
    <w:rsid w:val="00E35FEC"/>
    <w:rsid w:val="00E4124F"/>
    <w:rsid w:val="00E41382"/>
    <w:rsid w:val="00E44039"/>
    <w:rsid w:val="00E44BE9"/>
    <w:rsid w:val="00E57609"/>
    <w:rsid w:val="00E609F5"/>
    <w:rsid w:val="00E61F24"/>
    <w:rsid w:val="00E72BED"/>
    <w:rsid w:val="00E92361"/>
    <w:rsid w:val="00E93210"/>
    <w:rsid w:val="00EA35F7"/>
    <w:rsid w:val="00EB04FB"/>
    <w:rsid w:val="00EB7275"/>
    <w:rsid w:val="00EC16E2"/>
    <w:rsid w:val="00EC7395"/>
    <w:rsid w:val="00ED73EC"/>
    <w:rsid w:val="00ED74E9"/>
    <w:rsid w:val="00ED7713"/>
    <w:rsid w:val="00EE199C"/>
    <w:rsid w:val="00F02A67"/>
    <w:rsid w:val="00F14B72"/>
    <w:rsid w:val="00F15F38"/>
    <w:rsid w:val="00F2013D"/>
    <w:rsid w:val="00F21304"/>
    <w:rsid w:val="00F21370"/>
    <w:rsid w:val="00F27F05"/>
    <w:rsid w:val="00F324F0"/>
    <w:rsid w:val="00F343E2"/>
    <w:rsid w:val="00F34829"/>
    <w:rsid w:val="00F41BE8"/>
    <w:rsid w:val="00F41F89"/>
    <w:rsid w:val="00F67C31"/>
    <w:rsid w:val="00F762DD"/>
    <w:rsid w:val="00F812E9"/>
    <w:rsid w:val="00F96CA6"/>
    <w:rsid w:val="00F976C7"/>
    <w:rsid w:val="00FB0ACD"/>
    <w:rsid w:val="00FB1F57"/>
    <w:rsid w:val="00FB44E5"/>
    <w:rsid w:val="00FB6ACD"/>
    <w:rsid w:val="00FD7486"/>
    <w:rsid w:val="00FE3375"/>
    <w:rsid w:val="00FE3DF0"/>
    <w:rsid w:val="00FE6222"/>
    <w:rsid w:val="00FF03EB"/>
    <w:rsid w:val="00FF4090"/>
    <w:rsid w:val="00FF5D9B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A3E2651-397A-413C-8C7E-5C20A617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6" w:unhideWhenUsed="1"/>
    <w:lsdException w:name="toc 2" w:semiHidden="1" w:uiPriority="6" w:unhideWhenUsed="1"/>
    <w:lsdException w:name="toc 3" w:semiHidden="1" w:uiPriority="6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223"/>
    <w:pPr>
      <w:tabs>
        <w:tab w:val="left" w:pos="720"/>
      </w:tabs>
      <w:jc w:val="both"/>
    </w:pPr>
    <w:rPr>
      <w:rFonts w:eastAsia="Times New Roman"/>
      <w:sz w:val="22"/>
    </w:rPr>
  </w:style>
  <w:style w:type="paragraph" w:styleId="Heading1">
    <w:name w:val="heading 1"/>
    <w:basedOn w:val="Normal"/>
    <w:next w:val="Heading2"/>
    <w:link w:val="Heading1Char"/>
    <w:qFormat/>
    <w:rsid w:val="0092194C"/>
    <w:pPr>
      <w:keepNext/>
      <w:keepLines/>
      <w:numPr>
        <w:numId w:val="1"/>
      </w:numPr>
      <w:spacing w:after="240"/>
      <w:outlineLvl w:val="0"/>
    </w:pPr>
    <w:rPr>
      <w:b/>
      <w:caps/>
      <w:kern w:val="32"/>
    </w:rPr>
  </w:style>
  <w:style w:type="paragraph" w:styleId="Heading2">
    <w:name w:val="heading 2"/>
    <w:basedOn w:val="Normal"/>
    <w:next w:val="Heading3"/>
    <w:link w:val="Heading2Char"/>
    <w:qFormat/>
    <w:rsid w:val="0092194C"/>
    <w:pPr>
      <w:keepNext/>
      <w:keepLines/>
      <w:numPr>
        <w:ilvl w:val="1"/>
        <w:numId w:val="1"/>
      </w:numPr>
      <w:spacing w:after="240"/>
      <w:outlineLvl w:val="1"/>
    </w:pPr>
    <w:rPr>
      <w:smallCaps/>
    </w:rPr>
  </w:style>
  <w:style w:type="paragraph" w:styleId="Heading3">
    <w:name w:val="heading 3"/>
    <w:basedOn w:val="Normal"/>
    <w:next w:val="Heading4"/>
    <w:link w:val="Heading3Char"/>
    <w:qFormat/>
    <w:rsid w:val="0092194C"/>
    <w:pPr>
      <w:keepNext/>
      <w:keepLines/>
      <w:numPr>
        <w:ilvl w:val="2"/>
        <w:numId w:val="1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Heading5"/>
    <w:link w:val="Heading4Char"/>
    <w:qFormat/>
    <w:rsid w:val="0092194C"/>
    <w:pPr>
      <w:keepNext/>
      <w:keepLines/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92194C"/>
    <w:pPr>
      <w:keepNext/>
      <w:keepLines/>
      <w:numPr>
        <w:ilvl w:val="4"/>
        <w:numId w:val="1"/>
      </w:numPr>
      <w:spacing w:after="2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2"/>
    <w:semiHidden/>
    <w:qFormat/>
    <w:rsid w:val="0092194C"/>
    <w:pPr>
      <w:spacing w:after="240"/>
      <w:outlineLvl w:val="5"/>
    </w:pPr>
  </w:style>
  <w:style w:type="paragraph" w:styleId="Heading7">
    <w:name w:val="heading 7"/>
    <w:basedOn w:val="Normal"/>
    <w:next w:val="Normal"/>
    <w:link w:val="Heading7Char"/>
    <w:uiPriority w:val="2"/>
    <w:semiHidden/>
    <w:qFormat/>
    <w:rsid w:val="0092194C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uiPriority w:val="2"/>
    <w:semiHidden/>
    <w:unhideWhenUsed/>
    <w:rsid w:val="0092194C"/>
    <w:pPr>
      <w:keepNext/>
      <w:keepLines/>
      <w:spacing w:before="200"/>
      <w:outlineLvl w:val="7"/>
    </w:pPr>
    <w:rPr>
      <w:color w:val="40404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2194C"/>
    <w:pPr>
      <w:keepNext/>
      <w:keepLines/>
      <w:spacing w:before="200"/>
      <w:outlineLvl w:val="8"/>
    </w:pPr>
    <w:rPr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194C"/>
    <w:pPr>
      <w:numPr>
        <w:ilvl w:val="5"/>
        <w:numId w:val="1"/>
      </w:numPr>
      <w:spacing w:after="240"/>
    </w:pPr>
  </w:style>
  <w:style w:type="character" w:customStyle="1" w:styleId="BodyTextChar">
    <w:name w:val="Body Text Char"/>
    <w:link w:val="BodyText"/>
    <w:rsid w:val="0092194C"/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92194C"/>
    <w:pPr>
      <w:numPr>
        <w:ilvl w:val="6"/>
        <w:numId w:val="1"/>
      </w:numPr>
      <w:tabs>
        <w:tab w:val="clear" w:pos="720"/>
      </w:tabs>
      <w:spacing w:after="240"/>
    </w:pPr>
  </w:style>
  <w:style w:type="character" w:customStyle="1" w:styleId="BodyText2Char">
    <w:name w:val="Body Text 2 Char"/>
    <w:link w:val="BodyText2"/>
    <w:rsid w:val="0092194C"/>
    <w:rPr>
      <w:rFonts w:eastAsia="Times New Roman"/>
      <w:sz w:val="22"/>
    </w:rPr>
  </w:style>
  <w:style w:type="paragraph" w:styleId="BodyText3">
    <w:name w:val="Body Text 3"/>
    <w:basedOn w:val="Normal"/>
    <w:link w:val="BodyText3Char"/>
    <w:rsid w:val="0092194C"/>
    <w:pPr>
      <w:numPr>
        <w:ilvl w:val="7"/>
        <w:numId w:val="1"/>
      </w:numPr>
      <w:tabs>
        <w:tab w:val="clear" w:pos="720"/>
      </w:tabs>
      <w:spacing w:after="240"/>
    </w:pPr>
  </w:style>
  <w:style w:type="character" w:customStyle="1" w:styleId="BodyText3Char">
    <w:name w:val="Body Text 3 Char"/>
    <w:link w:val="BodyText3"/>
    <w:rsid w:val="0092194C"/>
    <w:rPr>
      <w:rFonts w:eastAsia="Times New Roman"/>
      <w:sz w:val="22"/>
    </w:rPr>
  </w:style>
  <w:style w:type="paragraph" w:customStyle="1" w:styleId="BodyText4">
    <w:name w:val="Body Text 4"/>
    <w:basedOn w:val="Normal"/>
    <w:link w:val="BodyText4Char"/>
    <w:rsid w:val="0092194C"/>
    <w:pPr>
      <w:numPr>
        <w:ilvl w:val="8"/>
        <w:numId w:val="1"/>
      </w:numPr>
      <w:tabs>
        <w:tab w:val="clear" w:pos="720"/>
      </w:tabs>
      <w:spacing w:after="240"/>
    </w:pPr>
  </w:style>
  <w:style w:type="character" w:customStyle="1" w:styleId="BodyText4Char">
    <w:name w:val="Body Text 4 Char"/>
    <w:link w:val="BodyText4"/>
    <w:rsid w:val="0092194C"/>
    <w:rPr>
      <w:rFonts w:eastAsia="Times New Roman"/>
      <w:sz w:val="22"/>
    </w:rPr>
  </w:style>
  <w:style w:type="paragraph" w:styleId="Footer">
    <w:name w:val="footer"/>
    <w:basedOn w:val="Normal"/>
    <w:link w:val="FooterChar"/>
    <w:uiPriority w:val="99"/>
    <w:rsid w:val="0092194C"/>
    <w:pPr>
      <w:tabs>
        <w:tab w:val="center" w:pos="4513"/>
        <w:tab w:val="right" w:pos="9027"/>
      </w:tabs>
    </w:pPr>
  </w:style>
  <w:style w:type="character" w:customStyle="1" w:styleId="FooterChar">
    <w:name w:val="Footer Char"/>
    <w:link w:val="Footer"/>
    <w:uiPriority w:val="99"/>
    <w:rsid w:val="0092194C"/>
    <w:rPr>
      <w:rFonts w:eastAsia="Calibri" w:cs="Times New Roman"/>
    </w:rPr>
  </w:style>
  <w:style w:type="paragraph" w:customStyle="1" w:styleId="FootnoteQuotation">
    <w:name w:val="Footnote Quotation"/>
    <w:basedOn w:val="Normal"/>
    <w:uiPriority w:val="1"/>
    <w:rsid w:val="0092194C"/>
    <w:pPr>
      <w:ind w:left="720" w:right="720"/>
    </w:pPr>
    <w:rPr>
      <w:sz w:val="20"/>
    </w:rPr>
  </w:style>
  <w:style w:type="character" w:styleId="FootnoteReference">
    <w:name w:val="footnote reference"/>
    <w:uiPriority w:val="1"/>
    <w:rsid w:val="0092194C"/>
    <w:rPr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92194C"/>
    <w:pPr>
      <w:ind w:firstLine="720"/>
    </w:pPr>
    <w:rPr>
      <w:sz w:val="20"/>
    </w:rPr>
  </w:style>
  <w:style w:type="character" w:customStyle="1" w:styleId="FootnoteTextChar">
    <w:name w:val="Footnote Text Char"/>
    <w:link w:val="FootnoteText"/>
    <w:uiPriority w:val="1"/>
    <w:rsid w:val="0092194C"/>
    <w:rPr>
      <w:rFonts w:eastAsia="Calibri" w:cs="Times New Roman"/>
      <w:sz w:val="20"/>
    </w:rPr>
  </w:style>
  <w:style w:type="paragraph" w:styleId="Header">
    <w:name w:val="header"/>
    <w:basedOn w:val="Normal"/>
    <w:link w:val="HeaderChar"/>
    <w:uiPriority w:val="3"/>
    <w:rsid w:val="0092194C"/>
    <w:pPr>
      <w:tabs>
        <w:tab w:val="center" w:pos="4513"/>
        <w:tab w:val="right" w:pos="9027"/>
      </w:tabs>
      <w:jc w:val="left"/>
    </w:pPr>
  </w:style>
  <w:style w:type="character" w:customStyle="1" w:styleId="HeaderChar">
    <w:name w:val="Header Char"/>
    <w:link w:val="Header"/>
    <w:uiPriority w:val="2"/>
    <w:rsid w:val="0092194C"/>
    <w:rPr>
      <w:rFonts w:eastAsia="Calibri" w:cs="Times New Roman"/>
    </w:rPr>
  </w:style>
  <w:style w:type="character" w:customStyle="1" w:styleId="Heading1Char">
    <w:name w:val="Heading 1 Char"/>
    <w:link w:val="Heading1"/>
    <w:rsid w:val="0092194C"/>
    <w:rPr>
      <w:rFonts w:eastAsia="Times New Roman"/>
      <w:b/>
      <w:caps/>
      <w:kern w:val="32"/>
      <w:sz w:val="22"/>
    </w:rPr>
  </w:style>
  <w:style w:type="character" w:customStyle="1" w:styleId="Heading2Char">
    <w:name w:val="Heading 2 Char"/>
    <w:link w:val="Heading2"/>
    <w:rsid w:val="0092194C"/>
    <w:rPr>
      <w:rFonts w:eastAsia="Times New Roman"/>
      <w:smallCaps/>
      <w:sz w:val="22"/>
    </w:rPr>
  </w:style>
  <w:style w:type="character" w:customStyle="1" w:styleId="Heading3Char">
    <w:name w:val="Heading 3 Char"/>
    <w:link w:val="Heading3"/>
    <w:rsid w:val="0092194C"/>
    <w:rPr>
      <w:rFonts w:eastAsia="Times New Roman"/>
      <w:b/>
      <w:sz w:val="22"/>
    </w:rPr>
  </w:style>
  <w:style w:type="character" w:customStyle="1" w:styleId="Heading4Char">
    <w:name w:val="Heading 4 Char"/>
    <w:link w:val="Heading4"/>
    <w:rsid w:val="0092194C"/>
    <w:rPr>
      <w:rFonts w:eastAsia="Times New Roman"/>
      <w:sz w:val="22"/>
    </w:rPr>
  </w:style>
  <w:style w:type="character" w:customStyle="1" w:styleId="Heading5Char">
    <w:name w:val="Heading 5 Char"/>
    <w:link w:val="Heading5"/>
    <w:rsid w:val="0092194C"/>
    <w:rPr>
      <w:rFonts w:eastAsia="Times New Roman"/>
      <w:i/>
      <w:sz w:val="22"/>
    </w:rPr>
  </w:style>
  <w:style w:type="character" w:customStyle="1" w:styleId="Heading6Char">
    <w:name w:val="Heading 6 Char"/>
    <w:link w:val="Heading6"/>
    <w:uiPriority w:val="2"/>
    <w:semiHidden/>
    <w:rsid w:val="0092194C"/>
    <w:rPr>
      <w:rFonts w:eastAsia="Calibri" w:cs="Times New Roman"/>
    </w:rPr>
  </w:style>
  <w:style w:type="character" w:customStyle="1" w:styleId="Heading7Char">
    <w:name w:val="Heading 7 Char"/>
    <w:link w:val="Heading7"/>
    <w:uiPriority w:val="2"/>
    <w:semiHidden/>
    <w:rsid w:val="0092194C"/>
    <w:rPr>
      <w:rFonts w:eastAsia="Calibri" w:cs="Times New Roman"/>
    </w:rPr>
  </w:style>
  <w:style w:type="character" w:customStyle="1" w:styleId="Heading8Char">
    <w:name w:val="Heading 8 Char"/>
    <w:link w:val="Heading8"/>
    <w:uiPriority w:val="2"/>
    <w:semiHidden/>
    <w:rsid w:val="0092194C"/>
    <w:rPr>
      <w:rFonts w:eastAsia="Times New Roman" w:cs="Times New Roman"/>
      <w:color w:val="404040"/>
    </w:rPr>
  </w:style>
  <w:style w:type="character" w:customStyle="1" w:styleId="Heading9Char">
    <w:name w:val="Heading 9 Char"/>
    <w:link w:val="Heading9"/>
    <w:uiPriority w:val="2"/>
    <w:semiHidden/>
    <w:rsid w:val="0092194C"/>
    <w:rPr>
      <w:rFonts w:eastAsia="Times New Roman" w:cs="Times New Roman"/>
      <w:iCs/>
      <w:color w:val="404040"/>
      <w:szCs w:val="20"/>
    </w:rPr>
  </w:style>
  <w:style w:type="paragraph" w:customStyle="1" w:styleId="Quotation">
    <w:name w:val="Quotation"/>
    <w:basedOn w:val="Normal"/>
    <w:uiPriority w:val="4"/>
    <w:rsid w:val="0092194C"/>
    <w:pPr>
      <w:spacing w:after="240"/>
      <w:ind w:left="720" w:right="720"/>
    </w:pPr>
  </w:style>
  <w:style w:type="paragraph" w:customStyle="1" w:styleId="QuotationDouble">
    <w:name w:val="Quotation Double"/>
    <w:basedOn w:val="Normal"/>
    <w:uiPriority w:val="4"/>
    <w:rsid w:val="0092194C"/>
    <w:pPr>
      <w:spacing w:after="240"/>
      <w:ind w:left="1440" w:right="1440"/>
    </w:pPr>
  </w:style>
  <w:style w:type="paragraph" w:styleId="Subtitle">
    <w:name w:val="Subtitle"/>
    <w:basedOn w:val="Normal"/>
    <w:link w:val="SubtitleChar"/>
    <w:uiPriority w:val="5"/>
    <w:qFormat/>
    <w:rsid w:val="0092194C"/>
    <w:pPr>
      <w:jc w:val="center"/>
      <w:outlineLvl w:val="1"/>
    </w:pPr>
  </w:style>
  <w:style w:type="character" w:customStyle="1" w:styleId="SubtitleChar">
    <w:name w:val="Subtitle Char"/>
    <w:link w:val="Subtitle"/>
    <w:uiPriority w:val="5"/>
    <w:rsid w:val="0092194C"/>
    <w:rPr>
      <w:rFonts w:eastAsia="Calibri" w:cs="Times New Roman"/>
    </w:rPr>
  </w:style>
  <w:style w:type="paragraph" w:styleId="Title">
    <w:name w:val="Title"/>
    <w:basedOn w:val="Normal"/>
    <w:link w:val="TitleChar"/>
    <w:qFormat/>
    <w:rsid w:val="0092194C"/>
    <w:pPr>
      <w:jc w:val="center"/>
    </w:pPr>
    <w:rPr>
      <w:b/>
      <w:caps/>
      <w:kern w:val="28"/>
    </w:rPr>
  </w:style>
  <w:style w:type="character" w:customStyle="1" w:styleId="TitleChar">
    <w:name w:val="Title Char"/>
    <w:link w:val="Title"/>
    <w:uiPriority w:val="5"/>
    <w:rsid w:val="0092194C"/>
    <w:rPr>
      <w:rFonts w:eastAsia="Calibri" w:cs="Times New Roman"/>
      <w:b/>
      <w:caps/>
      <w:kern w:val="28"/>
    </w:rPr>
  </w:style>
  <w:style w:type="paragraph" w:customStyle="1" w:styleId="Title2">
    <w:name w:val="Title 2"/>
    <w:basedOn w:val="Normal"/>
    <w:uiPriority w:val="5"/>
    <w:rsid w:val="0092194C"/>
    <w:pPr>
      <w:jc w:val="center"/>
    </w:pPr>
    <w:rPr>
      <w:u w:val="single"/>
    </w:rPr>
  </w:style>
  <w:style w:type="paragraph" w:customStyle="1" w:styleId="Title3">
    <w:name w:val="Title 3"/>
    <w:basedOn w:val="Normal"/>
    <w:uiPriority w:val="5"/>
    <w:rsid w:val="0092194C"/>
    <w:pPr>
      <w:jc w:val="center"/>
    </w:pPr>
    <w:rPr>
      <w:i/>
    </w:rPr>
  </w:style>
  <w:style w:type="paragraph" w:customStyle="1" w:styleId="TitleCountry">
    <w:name w:val="Title Country"/>
    <w:basedOn w:val="Normal"/>
    <w:uiPriority w:val="5"/>
    <w:rsid w:val="0092194C"/>
    <w:pPr>
      <w:jc w:val="center"/>
    </w:pPr>
    <w:rPr>
      <w:caps/>
    </w:rPr>
  </w:style>
  <w:style w:type="paragraph" w:styleId="TOC1">
    <w:name w:val="toc 1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  <w:rPr>
      <w:b/>
      <w:caps/>
    </w:rPr>
  </w:style>
  <w:style w:type="paragraph" w:styleId="TOC2">
    <w:name w:val="toc 2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  <w:rPr>
      <w:smallCaps/>
    </w:rPr>
  </w:style>
  <w:style w:type="paragraph" w:styleId="TOC3">
    <w:name w:val="toc 3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  <w:rPr>
      <w:b/>
    </w:rPr>
  </w:style>
  <w:style w:type="paragraph" w:styleId="TOC4">
    <w:name w:val="toc 4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</w:style>
  <w:style w:type="paragraph" w:styleId="TOC5">
    <w:name w:val="toc 5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  <w:rPr>
      <w:i/>
    </w:rPr>
  </w:style>
  <w:style w:type="paragraph" w:styleId="TOC6">
    <w:name w:val="toc 6"/>
    <w:basedOn w:val="Normal"/>
    <w:next w:val="Normal"/>
    <w:autoRedefine/>
    <w:uiPriority w:val="6"/>
    <w:semiHidden/>
    <w:rsid w:val="0092194C"/>
    <w:pPr>
      <w:tabs>
        <w:tab w:val="right" w:leader="dot" w:pos="9072"/>
      </w:tabs>
      <w:spacing w:before="60" w:after="60"/>
      <w:ind w:left="720" w:right="720"/>
      <w:jc w:val="left"/>
    </w:pPr>
  </w:style>
  <w:style w:type="paragraph" w:styleId="TOC7">
    <w:name w:val="toc 7"/>
    <w:basedOn w:val="Normal"/>
    <w:next w:val="Normal"/>
    <w:autoRedefine/>
    <w:uiPriority w:val="6"/>
    <w:semiHidden/>
    <w:rsid w:val="0092194C"/>
    <w:pPr>
      <w:tabs>
        <w:tab w:val="right" w:leader="dot" w:pos="9072"/>
      </w:tabs>
      <w:spacing w:before="60" w:after="60"/>
      <w:ind w:left="1100" w:right="720"/>
      <w:jc w:val="left"/>
    </w:pPr>
  </w:style>
  <w:style w:type="paragraph" w:styleId="TOC8">
    <w:name w:val="toc 8"/>
    <w:basedOn w:val="Normal"/>
    <w:next w:val="Normal"/>
    <w:autoRedefine/>
    <w:uiPriority w:val="6"/>
    <w:semiHidden/>
    <w:rsid w:val="0092194C"/>
    <w:pPr>
      <w:tabs>
        <w:tab w:val="right" w:leader="dot" w:pos="9072"/>
      </w:tabs>
      <w:spacing w:before="60" w:after="60"/>
      <w:ind w:left="1321" w:right="720"/>
      <w:jc w:val="left"/>
    </w:pPr>
  </w:style>
  <w:style w:type="paragraph" w:styleId="TOC9">
    <w:name w:val="toc 9"/>
    <w:basedOn w:val="Normal"/>
    <w:next w:val="Normal"/>
    <w:autoRedefine/>
    <w:uiPriority w:val="6"/>
    <w:semiHidden/>
    <w:rsid w:val="0092194C"/>
    <w:pPr>
      <w:tabs>
        <w:tab w:val="right" w:leader="dot" w:pos="9072"/>
      </w:tabs>
      <w:spacing w:before="60" w:after="60"/>
      <w:ind w:left="1542" w:right="720"/>
      <w:jc w:val="left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890F2D"/>
    <w:pPr>
      <w:tabs>
        <w:tab w:val="clear" w:pos="720"/>
      </w:tabs>
      <w:ind w:left="220" w:hanging="220"/>
    </w:pPr>
  </w:style>
  <w:style w:type="paragraph" w:styleId="IndexHeading">
    <w:name w:val="index heading"/>
    <w:basedOn w:val="Normal"/>
    <w:next w:val="Index1"/>
    <w:semiHidden/>
    <w:rsid w:val="00890F2D"/>
    <w:rPr>
      <w:lang w:eastAsia="en-US"/>
    </w:rPr>
  </w:style>
  <w:style w:type="character" w:styleId="Hyperlink">
    <w:name w:val="Hyperlink"/>
    <w:uiPriority w:val="99"/>
    <w:unhideWhenUsed/>
    <w:rsid w:val="00060385"/>
    <w:rPr>
      <w:color w:val="0000FF"/>
      <w:u w:val="single"/>
    </w:rPr>
  </w:style>
  <w:style w:type="table" w:styleId="TableElegant">
    <w:name w:val="Table Elegant"/>
    <w:basedOn w:val="TableNormal"/>
    <w:rsid w:val="0019447C"/>
    <w:pPr>
      <w:tabs>
        <w:tab w:val="left" w:pos="720"/>
      </w:tabs>
      <w:jc w:val="both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7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96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817"/>
    <w:pPr>
      <w:tabs>
        <w:tab w:val="clear" w:pos="720"/>
      </w:tabs>
      <w:ind w:left="720"/>
      <w:jc w:val="left"/>
    </w:pPr>
    <w:rPr>
      <w:rFonts w:ascii="Calibri" w:eastAsia="Calibri" w:hAnsi="Calibri" w:cs="Calibri"/>
      <w:szCs w:val="22"/>
    </w:rPr>
  </w:style>
  <w:style w:type="table" w:styleId="TableGrid">
    <w:name w:val="Table Grid"/>
    <w:basedOn w:val="TableNormal"/>
    <w:uiPriority w:val="59"/>
    <w:rsid w:val="00527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776F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na.flanagan@wt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ra.ayral@wto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52E20-58F1-43A2-981F-FFBEA1EE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3434</CharactersWithSpaces>
  <SharedDoc>false</SharedDoc>
  <HLinks>
    <vt:vector size="18" baseType="variant">
      <vt:variant>
        <vt:i4>4849774</vt:i4>
      </vt:variant>
      <vt:variant>
        <vt:i4>6</vt:i4>
      </vt:variant>
      <vt:variant>
        <vt:i4>0</vt:i4>
      </vt:variant>
      <vt:variant>
        <vt:i4>5</vt:i4>
      </vt:variant>
      <vt:variant>
        <vt:lpwstr>mailto:elena.cravet@mei.gov.md</vt:lpwstr>
      </vt:variant>
      <vt:variant>
        <vt:lpwstr/>
      </vt:variant>
      <vt:variant>
        <vt:i4>1638518</vt:i4>
      </vt:variant>
      <vt:variant>
        <vt:i4>3</vt:i4>
      </vt:variant>
      <vt:variant>
        <vt:i4>0</vt:i4>
      </vt:variant>
      <vt:variant>
        <vt:i4>5</vt:i4>
      </vt:variant>
      <vt:variant>
        <vt:lpwstr>mailto:una.flanagan@wto.org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mailto:arti.daswani@wto.org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Alcala, Rolando</dc:creator>
  <cp:keywords/>
  <cp:lastModifiedBy>Flanagan, Una</cp:lastModifiedBy>
  <cp:revision>10</cp:revision>
  <cp:lastPrinted>2019-11-25T14:45:00Z</cp:lastPrinted>
  <dcterms:created xsi:type="dcterms:W3CDTF">2019-11-25T11:16:00Z</dcterms:created>
  <dcterms:modified xsi:type="dcterms:W3CDTF">2019-11-26T08:21:00Z</dcterms:modified>
</cp:coreProperties>
</file>