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93F3A" w14:textId="47F4F611" w:rsidR="00BE6526" w:rsidRDefault="00D11F49" w:rsidP="00B26396">
      <w:pPr>
        <w:pStyle w:val="SummaryHeader"/>
        <w:jc w:val="center"/>
      </w:pPr>
      <w:r>
        <w:t xml:space="preserve">Second </w:t>
      </w:r>
      <w:r w:rsidR="00BE6526">
        <w:t xml:space="preserve">high LEVEL </w:t>
      </w:r>
      <w:r>
        <w:t xml:space="preserve">Regional Dialogue on WTO Accessions </w:t>
      </w:r>
    </w:p>
    <w:p w14:paraId="76237ECE" w14:textId="7F4591A3" w:rsidR="00850889" w:rsidRDefault="00D11F49" w:rsidP="00B26396">
      <w:pPr>
        <w:pStyle w:val="SummaryHeader"/>
        <w:jc w:val="center"/>
      </w:pPr>
      <w:r>
        <w:t>for the</w:t>
      </w:r>
      <w:r w:rsidR="00B26396">
        <w:t xml:space="preserve"> Arab region</w:t>
      </w:r>
    </w:p>
    <w:p w14:paraId="2AF11506" w14:textId="1AF1B349" w:rsidR="00F679DE" w:rsidRPr="00F679DE" w:rsidRDefault="00F679DE" w:rsidP="00F679DE">
      <w:pPr>
        <w:pStyle w:val="Title3"/>
        <w:rPr>
          <w:sz w:val="22"/>
          <w:szCs w:val="22"/>
        </w:rPr>
      </w:pPr>
      <w:r>
        <w:rPr>
          <w:sz w:val="22"/>
          <w:szCs w:val="22"/>
        </w:rPr>
        <w:t>"</w:t>
      </w:r>
      <w:r w:rsidRPr="00F679DE">
        <w:rPr>
          <w:sz w:val="22"/>
          <w:szCs w:val="22"/>
        </w:rPr>
        <w:t>Adaptive Approaches to WTO Accession amid COVID-19</w:t>
      </w:r>
      <w:r>
        <w:rPr>
          <w:sz w:val="22"/>
          <w:szCs w:val="22"/>
        </w:rPr>
        <w:t>"</w:t>
      </w:r>
    </w:p>
    <w:p w14:paraId="26B78CEB" w14:textId="1B078DEC" w:rsidR="00BE6526" w:rsidRDefault="003B3835" w:rsidP="00B26396">
      <w:pPr>
        <w:pStyle w:val="SummaryHeader"/>
        <w:jc w:val="center"/>
      </w:pPr>
      <w:r>
        <w:t>7-9</w:t>
      </w:r>
      <w:r w:rsidR="00BE6526">
        <w:t xml:space="preserve"> </w:t>
      </w:r>
      <w:r>
        <w:t>February 2022</w:t>
      </w:r>
    </w:p>
    <w:p w14:paraId="0BDC4A97" w14:textId="03ECD3A2" w:rsidR="003B3835" w:rsidRPr="003B3835" w:rsidRDefault="003B3835" w:rsidP="00B26396">
      <w:pPr>
        <w:pStyle w:val="SummaryHeader"/>
        <w:jc w:val="center"/>
        <w:rPr>
          <w:i/>
          <w:iCs/>
        </w:rPr>
      </w:pPr>
      <w:r w:rsidRPr="003B3835">
        <w:rPr>
          <w:i/>
          <w:iCs/>
        </w:rPr>
        <w:t>Zoom</w:t>
      </w:r>
    </w:p>
    <w:p w14:paraId="7A83AC03" w14:textId="45E0859C" w:rsidR="00F75795" w:rsidRDefault="005878E5" w:rsidP="00B26396">
      <w:pPr>
        <w:pStyle w:val="Title3"/>
      </w:pPr>
      <w:r>
        <w:t>Concept Note</w:t>
      </w:r>
    </w:p>
    <w:p w14:paraId="7B8124AD" w14:textId="2468EBC6" w:rsidR="00A26C72" w:rsidRDefault="00A26C72" w:rsidP="008A7BB6"/>
    <w:p w14:paraId="2F85D2B4" w14:textId="4C55F676" w:rsidR="003F0B87" w:rsidRDefault="003F0B87" w:rsidP="003F0B87">
      <w:pPr>
        <w:ind w:firstLine="567"/>
      </w:pPr>
      <w:r>
        <w:t xml:space="preserve">The Arab region comprises eight acceding governments (Algeria, Comoros, Iraq, Lebanese Republic, Libya, Somalia, </w:t>
      </w:r>
      <w:proofErr w:type="gramStart"/>
      <w:r>
        <w:t>Sudan</w:t>
      </w:r>
      <w:proofErr w:type="gramEnd"/>
      <w:r>
        <w:t xml:space="preserve"> and Syrian Arab Republic), accounting for more than one third of ongoing WTO accessions. Four Arab countries (the Kingdom of Jordan, the Sultanate of Oman, the Kingdom of Saudi </w:t>
      </w:r>
      <w:proofErr w:type="gramStart"/>
      <w:r>
        <w:t>Arabia</w:t>
      </w:r>
      <w:proofErr w:type="gramEnd"/>
      <w:r>
        <w:t xml:space="preserve"> and Yemen) have acceded to the WTO since its establishment in 1995. </w:t>
      </w:r>
      <w:proofErr w:type="gramStart"/>
      <w:r>
        <w:t>The majority of</w:t>
      </w:r>
      <w:proofErr w:type="gramEnd"/>
      <w:r>
        <w:t xml:space="preserve"> Arab countries that are still outside the WTO face a multitude of challenges that go beyond trade. These challenges have been exacerbated by the COVID-19 pandemic.  </w:t>
      </w:r>
    </w:p>
    <w:p w14:paraId="18DCF552" w14:textId="77777777" w:rsidR="003F0B87" w:rsidRDefault="003F0B87" w:rsidP="003F0B87">
      <w:pPr>
        <w:ind w:firstLine="567"/>
      </w:pPr>
    </w:p>
    <w:p w14:paraId="3BF10F38" w14:textId="382A733E" w:rsidR="003F0B87" w:rsidRDefault="003F0B87" w:rsidP="003F0B87">
      <w:pPr>
        <w:ind w:firstLine="567"/>
      </w:pPr>
      <w:bookmarkStart w:id="0" w:name="_Hlk89959163"/>
      <w:r>
        <w:t>As a follow up to the successful first High-Level Regional Dialogue on WTO Accessions, held on 8-10 November 2020 under the theme "Arab Perspectives on WTO Accessions and the Multilateral Trading System", the second High-Level Regional Dialogue</w:t>
      </w:r>
      <w:bookmarkEnd w:id="0"/>
      <w:r>
        <w:t xml:space="preserve"> will also be organized virtually in collaboration with the Arab Monetary Fund (AMF) and the Islamic Development Bank (IsDB) on </w:t>
      </w:r>
      <w:r w:rsidR="00216486">
        <w:t>7</w:t>
      </w:r>
      <w:r>
        <w:t>-</w:t>
      </w:r>
      <w:r w:rsidR="00216486">
        <w:t>9</w:t>
      </w:r>
      <w:r>
        <w:t xml:space="preserve"> </w:t>
      </w:r>
      <w:r w:rsidR="00216486">
        <w:t xml:space="preserve">February </w:t>
      </w:r>
      <w:r>
        <w:t>202</w:t>
      </w:r>
      <w:r w:rsidR="00216486">
        <w:t>2</w:t>
      </w:r>
      <w:r>
        <w:t xml:space="preserve">. The event will build on the previous dialogue which </w:t>
      </w:r>
      <w:bookmarkStart w:id="1" w:name="_Hlk89959216"/>
      <w:r>
        <w:t>included sessions related to the accession process</w:t>
      </w:r>
      <w:bookmarkEnd w:id="1"/>
      <w:r>
        <w:t xml:space="preserve"> – the difficulties faced, the experiences learned, and potential solutions to assist acceding governments. </w:t>
      </w:r>
      <w:bookmarkStart w:id="2" w:name="_Hlk89959401"/>
      <w:r>
        <w:t xml:space="preserve">Moreover, the regional dialogue will focus on specific topics of interest to Arab acceding governments, such as the </w:t>
      </w:r>
      <w:r w:rsidR="0052387E">
        <w:t xml:space="preserve">role of the private sector, Trade Facilitation, Trade in Services </w:t>
      </w:r>
      <w:r>
        <w:t>and Trade for Peace.</w:t>
      </w:r>
    </w:p>
    <w:bookmarkEnd w:id="2"/>
    <w:p w14:paraId="1B46FAAB" w14:textId="77777777" w:rsidR="003F0B87" w:rsidRDefault="003F0B87" w:rsidP="003F0B87">
      <w:pPr>
        <w:ind w:firstLine="567"/>
      </w:pPr>
    </w:p>
    <w:p w14:paraId="29E1AA4B" w14:textId="6A1C05FA" w:rsidR="003F0B87" w:rsidRDefault="003F0B87" w:rsidP="003F0B87">
      <w:pPr>
        <w:ind w:firstLine="567"/>
      </w:pPr>
      <w:r>
        <w:t>The Second High-Level Regional Dialogue entitled "</w:t>
      </w:r>
      <w:bookmarkStart w:id="3" w:name="_Hlk83643935"/>
      <w:r>
        <w:t>Adaptive Approaches to WTO Accession amid COVID-19</w:t>
      </w:r>
      <w:bookmarkEnd w:id="3"/>
      <w:r>
        <w:t xml:space="preserve">" is organized to keep the momentum going among Arab acceding governments to help them advance closer to WTO Membership. Specific objectives of the event can include, inter alia: </w:t>
      </w:r>
    </w:p>
    <w:p w14:paraId="0323886D" w14:textId="77777777" w:rsidR="003F0B87" w:rsidRDefault="003F0B87" w:rsidP="003F0B87">
      <w:pPr>
        <w:ind w:firstLine="567"/>
      </w:pPr>
    </w:p>
    <w:p w14:paraId="514EB5A5" w14:textId="77777777" w:rsidR="003F0B87" w:rsidRDefault="003F0B87" w:rsidP="003F0B87">
      <w:r>
        <w:t>1.</w:t>
      </w:r>
      <w:r>
        <w:tab/>
        <w:t xml:space="preserve">To increase participants’ knowledge of the WTO accession process, accession-related rules, and the state-of-play of Arab accessions. </w:t>
      </w:r>
    </w:p>
    <w:p w14:paraId="539B4FD6" w14:textId="77777777" w:rsidR="003F0B87" w:rsidRDefault="003F0B87" w:rsidP="003F0B87"/>
    <w:p w14:paraId="085296DE" w14:textId="77777777" w:rsidR="003F0B87" w:rsidRDefault="003F0B87" w:rsidP="003F0B87">
      <w:r>
        <w:t>2.</w:t>
      </w:r>
      <w:r>
        <w:tab/>
        <w:t>To deepen discussions by focusing on specific topics of interest to acceding governments, such as the synergies between regional integration and WTO accessions. Proposed topics are Trade Facilitation and Trade in Services.</w:t>
      </w:r>
    </w:p>
    <w:p w14:paraId="6372791F" w14:textId="77777777" w:rsidR="003F0B87" w:rsidRDefault="003F0B87" w:rsidP="003F0B87"/>
    <w:p w14:paraId="399D7620" w14:textId="192585B4" w:rsidR="003F0B87" w:rsidRDefault="003F0B87" w:rsidP="003F0B87">
      <w:r>
        <w:t>3.</w:t>
      </w:r>
      <w:r>
        <w:tab/>
        <w:t xml:space="preserve">To facilitate acceding governments to share experiences and lessons learned from the accession process by engaging with </w:t>
      </w:r>
      <w:r w:rsidR="00563465">
        <w:t>the private sector</w:t>
      </w:r>
      <w:r>
        <w:t xml:space="preserve"> in accessions negotiations. </w:t>
      </w:r>
    </w:p>
    <w:p w14:paraId="68C977A0" w14:textId="77777777" w:rsidR="003F0B87" w:rsidRDefault="003F0B87" w:rsidP="003F0B87"/>
    <w:p w14:paraId="36CD44E3" w14:textId="58445CD2" w:rsidR="003F0B87" w:rsidRDefault="003F0B87" w:rsidP="007B24E7">
      <w:r>
        <w:t>4.</w:t>
      </w:r>
      <w:r>
        <w:tab/>
        <w:t xml:space="preserve">To discuss the role of the Trade for Peace Programme in enhancing Arab fragile and conflict affected (FCA) countries in accession to use trade as a vehicle for peace and stability for their countries and for the region. </w:t>
      </w:r>
    </w:p>
    <w:p w14:paraId="7BD8978C" w14:textId="77777777" w:rsidR="003F0B87" w:rsidRDefault="003F0B87" w:rsidP="003F0B87"/>
    <w:p w14:paraId="3F3AC2F5" w14:textId="77777777" w:rsidR="003F0B87" w:rsidRPr="003F0B87" w:rsidRDefault="003F0B87" w:rsidP="003F0B87">
      <w:pPr>
        <w:rPr>
          <w:i/>
          <w:iCs/>
        </w:rPr>
      </w:pPr>
      <w:r w:rsidRPr="003F0B87">
        <w:rPr>
          <w:i/>
          <w:iCs/>
        </w:rPr>
        <w:t>English and Arabic interpretation will be provided for the entire duration of the High-Level Dialogue.</w:t>
      </w:r>
    </w:p>
    <w:p w14:paraId="5EF5148B" w14:textId="7B2212DA" w:rsidR="00425251" w:rsidRPr="003F0B87" w:rsidRDefault="00425251" w:rsidP="008A7BB6">
      <w:pPr>
        <w:rPr>
          <w:i/>
          <w:iCs/>
        </w:rPr>
      </w:pPr>
    </w:p>
    <w:p w14:paraId="653A3DCA" w14:textId="13B1C441" w:rsidR="00425251" w:rsidRDefault="00425251" w:rsidP="008A7BB6">
      <w:pPr>
        <w:rPr>
          <w:i/>
          <w:iCs/>
        </w:rPr>
      </w:pPr>
    </w:p>
    <w:p w14:paraId="25C2BB45" w14:textId="3EA79A70" w:rsidR="003F0B87" w:rsidRDefault="003F0B87" w:rsidP="003F0B87">
      <w:pPr>
        <w:jc w:val="center"/>
        <w:rPr>
          <w:i/>
          <w:iCs/>
        </w:rPr>
      </w:pPr>
      <w:r>
        <w:rPr>
          <w:i/>
          <w:iCs/>
        </w:rPr>
        <w:t>________________</w:t>
      </w:r>
    </w:p>
    <w:p w14:paraId="3EDC8970" w14:textId="2D9163DB" w:rsidR="007134CE" w:rsidRDefault="007134CE" w:rsidP="003F0B87">
      <w:pPr>
        <w:jc w:val="center"/>
        <w:rPr>
          <w:i/>
          <w:iCs/>
        </w:rPr>
      </w:pPr>
    </w:p>
    <w:p w14:paraId="3DB09E0D" w14:textId="3BAC3C3A" w:rsidR="007134CE" w:rsidRDefault="007134CE" w:rsidP="003F0B87">
      <w:pPr>
        <w:jc w:val="center"/>
        <w:rPr>
          <w:i/>
          <w:iCs/>
        </w:rPr>
      </w:pPr>
    </w:p>
    <w:p w14:paraId="598F5F4D" w14:textId="51A9CE16" w:rsidR="007134CE" w:rsidRDefault="007134CE" w:rsidP="003F0B87">
      <w:pPr>
        <w:jc w:val="center"/>
        <w:rPr>
          <w:i/>
          <w:iCs/>
        </w:rPr>
      </w:pPr>
    </w:p>
    <w:p w14:paraId="7A540E1C" w14:textId="05AE4C80" w:rsidR="007B24E7" w:rsidRDefault="007B24E7" w:rsidP="003F0B87">
      <w:pPr>
        <w:jc w:val="center"/>
        <w:rPr>
          <w:i/>
          <w:iCs/>
        </w:rPr>
      </w:pPr>
    </w:p>
    <w:p w14:paraId="0AB97596" w14:textId="07E0BFFB" w:rsidR="007B24E7" w:rsidRDefault="007B24E7" w:rsidP="003F0B87">
      <w:pPr>
        <w:jc w:val="center"/>
        <w:rPr>
          <w:i/>
          <w:iCs/>
        </w:rPr>
      </w:pPr>
    </w:p>
    <w:p w14:paraId="3C5F853E" w14:textId="6C17917C" w:rsidR="007134CE" w:rsidRDefault="007134CE" w:rsidP="00B63904">
      <w:pPr>
        <w:pStyle w:val="Title3"/>
        <w:rPr>
          <w:i w:val="0"/>
          <w:iCs/>
        </w:rPr>
      </w:pPr>
      <w:r w:rsidRPr="007134CE">
        <w:rPr>
          <w:i w:val="0"/>
          <w:iCs/>
          <w:sz w:val="22"/>
          <w:szCs w:val="22"/>
          <w:u w:val="single"/>
        </w:rPr>
        <w:t>Draft Programme</w:t>
      </w:r>
    </w:p>
    <w:tbl>
      <w:tblPr>
        <w:tblW w:w="5189"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346"/>
      </w:tblGrid>
      <w:tr w:rsidR="007134CE" w:rsidRPr="007134CE" w14:paraId="6A12637D"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95B3D7"/>
            <w:vAlign w:val="center"/>
          </w:tcPr>
          <w:p w14:paraId="5945E942" w14:textId="77550031" w:rsidR="007134CE" w:rsidRPr="007134CE" w:rsidRDefault="007134CE" w:rsidP="007134CE">
            <w:pPr>
              <w:spacing w:after="120"/>
              <w:jc w:val="center"/>
              <w:rPr>
                <w:rFonts w:ascii="Calibri" w:eastAsia="Calibri" w:hAnsi="Calibri" w:cs="Calibri"/>
                <w:b/>
                <w:bCs/>
                <w:iCs/>
                <w:sz w:val="24"/>
                <w:szCs w:val="24"/>
                <w:lang w:eastAsia="ja-JP"/>
              </w:rPr>
            </w:pPr>
            <w:r w:rsidRPr="007134CE">
              <w:rPr>
                <w:rFonts w:ascii="Calibri" w:eastAsia="Calibri" w:hAnsi="Calibri" w:cs="Calibri"/>
                <w:b/>
                <w:bCs/>
                <w:iCs/>
                <w:sz w:val="24"/>
                <w:szCs w:val="24"/>
                <w:lang w:eastAsia="ja-JP"/>
              </w:rPr>
              <w:t xml:space="preserve">DAY 1: Monday </w:t>
            </w:r>
            <w:r w:rsidR="00216486">
              <w:rPr>
                <w:rFonts w:ascii="Calibri" w:eastAsia="Calibri" w:hAnsi="Calibri" w:cs="Calibri"/>
                <w:b/>
                <w:bCs/>
                <w:iCs/>
                <w:sz w:val="24"/>
                <w:szCs w:val="24"/>
                <w:lang w:eastAsia="ja-JP"/>
              </w:rPr>
              <w:t>7 February 2022</w:t>
            </w:r>
          </w:p>
        </w:tc>
      </w:tr>
      <w:tr w:rsidR="007134CE" w:rsidRPr="007134CE" w14:paraId="60A128FC" w14:textId="77777777" w:rsidTr="00195B9B">
        <w:trPr>
          <w:trHeight w:val="699"/>
        </w:trPr>
        <w:tc>
          <w:tcPr>
            <w:tcW w:w="5000" w:type="pct"/>
            <w:tcBorders>
              <w:top w:val="single" w:sz="8" w:space="0" w:color="4F81BD"/>
            </w:tcBorders>
            <w:shd w:val="clear" w:color="auto" w:fill="DBE5F1"/>
            <w:vAlign w:val="center"/>
          </w:tcPr>
          <w:p w14:paraId="5E7F9C6F" w14:textId="77777777" w:rsidR="007134CE" w:rsidRPr="007134CE" w:rsidRDefault="007134CE" w:rsidP="007134CE">
            <w:pPr>
              <w:spacing w:after="120"/>
              <w:jc w:val="center"/>
              <w:rPr>
                <w:rFonts w:ascii="Calibri" w:eastAsia="Calibri" w:hAnsi="Calibri" w:cs="Calibri"/>
                <w:b/>
                <w:i/>
                <w:color w:val="1F497D"/>
                <w:sz w:val="20"/>
                <w:szCs w:val="20"/>
                <w:lang w:eastAsia="ja-JP"/>
              </w:rPr>
            </w:pPr>
            <w:bookmarkStart w:id="4" w:name="_Hlk81819362"/>
            <w:r w:rsidRPr="007134CE">
              <w:rPr>
                <w:rFonts w:ascii="Calibri" w:eastAsia="Calibri" w:hAnsi="Calibri" w:cs="Calibri"/>
                <w:b/>
                <w:bCs/>
                <w:iCs/>
                <w:sz w:val="20"/>
                <w:szCs w:val="20"/>
                <w:lang w:eastAsia="ja-JP"/>
              </w:rPr>
              <w:t>High-level Opening Session</w:t>
            </w:r>
            <w:r w:rsidRPr="007134CE">
              <w:rPr>
                <w:rFonts w:ascii="Calibri" w:eastAsia="Calibri" w:hAnsi="Calibri" w:cs="Calibri"/>
                <w:b/>
                <w:bCs/>
                <w:iCs/>
                <w:sz w:val="20"/>
                <w:szCs w:val="20"/>
                <w:lang w:eastAsia="ja-JP"/>
              </w:rPr>
              <w:br/>
            </w:r>
          </w:p>
        </w:tc>
      </w:tr>
      <w:bookmarkEnd w:id="4"/>
      <w:tr w:rsidR="007134CE" w:rsidRPr="007134CE" w14:paraId="2BE8560C" w14:textId="77777777" w:rsidTr="00195B9B">
        <w:trPr>
          <w:trHeight w:val="20"/>
        </w:trPr>
        <w:tc>
          <w:tcPr>
            <w:tcW w:w="5000" w:type="pct"/>
            <w:tcBorders>
              <w:top w:val="single" w:sz="8" w:space="0" w:color="4F81BD"/>
              <w:bottom w:val="single" w:sz="8" w:space="0" w:color="4F81BD"/>
            </w:tcBorders>
            <w:shd w:val="clear" w:color="auto" w:fill="auto"/>
            <w:vAlign w:val="center"/>
          </w:tcPr>
          <w:p w14:paraId="21AE4382" w14:textId="0B9980A5" w:rsidR="007134CE" w:rsidRPr="007134CE" w:rsidRDefault="007134CE" w:rsidP="007134CE">
            <w:pPr>
              <w:spacing w:after="120"/>
              <w:jc w:val="left"/>
              <w:rPr>
                <w:rFonts w:ascii="Calibri" w:eastAsia="MS Mincho" w:hAnsi="Calibri" w:cs="Calibri"/>
                <w:sz w:val="20"/>
                <w:szCs w:val="20"/>
                <w:lang w:val="en-US"/>
              </w:rPr>
            </w:pPr>
            <w:r w:rsidRPr="007134CE">
              <w:rPr>
                <w:rFonts w:ascii="Calibri" w:eastAsia="MS Mincho" w:hAnsi="Calibri" w:cs="Calibri"/>
                <w:b/>
                <w:bCs/>
                <w:sz w:val="20"/>
                <w:szCs w:val="20"/>
                <w:lang w:val="en-US"/>
              </w:rPr>
              <w:t>Moderator:</w:t>
            </w:r>
            <w:r w:rsidRPr="007134CE">
              <w:rPr>
                <w:rFonts w:ascii="Calibri" w:eastAsia="MS Mincho" w:hAnsi="Calibri" w:cs="Calibri"/>
                <w:sz w:val="20"/>
                <w:szCs w:val="20"/>
                <w:lang w:val="en-US"/>
              </w:rPr>
              <w:t xml:space="preserve"> Ms. Maika Oshikawa, Director, Accessions Division, WTO</w:t>
            </w:r>
            <w:r>
              <w:rPr>
                <w:rFonts w:ascii="Calibri" w:eastAsia="MS Mincho" w:hAnsi="Calibri" w:cs="Calibri"/>
                <w:sz w:val="20"/>
                <w:szCs w:val="20"/>
                <w:lang w:val="en-US"/>
              </w:rPr>
              <w:t xml:space="preserve"> (TBC)</w:t>
            </w:r>
          </w:p>
          <w:p w14:paraId="3560A4A6" w14:textId="77777777" w:rsidR="007134CE" w:rsidRPr="007134CE" w:rsidRDefault="007134CE" w:rsidP="007134CE">
            <w:pPr>
              <w:spacing w:after="120"/>
              <w:jc w:val="left"/>
              <w:rPr>
                <w:rFonts w:ascii="Calibri" w:eastAsia="MS Mincho" w:hAnsi="Calibri" w:cs="Calibri"/>
                <w:b/>
                <w:bCs/>
                <w:sz w:val="20"/>
                <w:szCs w:val="20"/>
                <w:lang w:val="en-US"/>
              </w:rPr>
            </w:pPr>
            <w:r w:rsidRPr="007134CE">
              <w:rPr>
                <w:rFonts w:ascii="Calibri" w:eastAsia="MS Mincho" w:hAnsi="Calibri" w:cs="Calibri"/>
                <w:b/>
                <w:bCs/>
                <w:sz w:val="20"/>
                <w:szCs w:val="20"/>
                <w:lang w:val="en-US"/>
              </w:rPr>
              <w:t>Speakers:</w:t>
            </w:r>
          </w:p>
          <w:p w14:paraId="579946A6" w14:textId="6DDAE704" w:rsidR="007134CE" w:rsidRPr="007134CE" w:rsidRDefault="007134CE" w:rsidP="007134CE">
            <w:pPr>
              <w:spacing w:after="120"/>
              <w:jc w:val="left"/>
              <w:rPr>
                <w:rFonts w:ascii="Calibri" w:eastAsia="MS Mincho" w:hAnsi="Calibri" w:cs="Calibri"/>
                <w:sz w:val="20"/>
                <w:szCs w:val="20"/>
              </w:rPr>
            </w:pPr>
            <w:r w:rsidRPr="007134CE">
              <w:rPr>
                <w:rFonts w:ascii="Calibri" w:eastAsia="MS Mincho" w:hAnsi="Calibri" w:cs="Calibri"/>
                <w:sz w:val="20"/>
                <w:szCs w:val="20"/>
              </w:rPr>
              <w:t>-</w:t>
            </w:r>
            <w:r w:rsidRPr="007134CE">
              <w:rPr>
                <w:rFonts w:ascii="Calibri" w:eastAsia="MS Mincho" w:hAnsi="Calibri" w:cs="Calibri"/>
                <w:sz w:val="20"/>
                <w:szCs w:val="20"/>
              </w:rPr>
              <w:tab/>
              <w:t xml:space="preserve">Welcoming Remarks by H.E. Dr Abdulrahman A. Al Hamidy, AMF Director General Chairman of the Board </w:t>
            </w:r>
            <w:r>
              <w:rPr>
                <w:rFonts w:ascii="Calibri" w:eastAsia="MS Mincho" w:hAnsi="Calibri" w:cs="Calibri"/>
                <w:sz w:val="20"/>
                <w:szCs w:val="20"/>
              </w:rPr>
              <w:t>(TBC)</w:t>
            </w:r>
          </w:p>
          <w:p w14:paraId="2E38400C" w14:textId="17E5F5FF" w:rsidR="007134CE" w:rsidRPr="007134CE" w:rsidRDefault="007134CE" w:rsidP="007134CE">
            <w:pPr>
              <w:spacing w:after="120"/>
              <w:jc w:val="left"/>
              <w:rPr>
                <w:rFonts w:ascii="Calibri" w:eastAsia="MS Mincho" w:hAnsi="Calibri" w:cs="Calibri"/>
                <w:sz w:val="20"/>
                <w:szCs w:val="20"/>
              </w:rPr>
            </w:pPr>
            <w:r w:rsidRPr="007134CE">
              <w:rPr>
                <w:rFonts w:ascii="Calibri" w:eastAsia="MS Mincho" w:hAnsi="Calibri" w:cs="Calibri"/>
                <w:sz w:val="20"/>
                <w:szCs w:val="20"/>
              </w:rPr>
              <w:t xml:space="preserve">- </w:t>
            </w:r>
            <w:r w:rsidRPr="007134CE">
              <w:rPr>
                <w:rFonts w:ascii="Calibri" w:eastAsia="MS Mincho" w:hAnsi="Calibri" w:cs="Calibri"/>
                <w:sz w:val="20"/>
                <w:szCs w:val="20"/>
              </w:rPr>
              <w:tab/>
              <w:t xml:space="preserve">Remarks by </w:t>
            </w:r>
            <w:r w:rsidR="00195B9B" w:rsidRPr="007134CE">
              <w:rPr>
                <w:rFonts w:ascii="Calibri" w:eastAsia="Calibri" w:hAnsi="Calibri" w:cs="Calibri"/>
                <w:sz w:val="20"/>
                <w:szCs w:val="20"/>
              </w:rPr>
              <w:t>Dr. Ngozi Okonjo-Iweala, Director-General, WTO (TBC)</w:t>
            </w:r>
          </w:p>
          <w:p w14:paraId="08536EDF" w14:textId="06770898" w:rsidR="007134CE" w:rsidRPr="00BE50FA" w:rsidRDefault="007134CE" w:rsidP="00314DE6">
            <w:pPr>
              <w:spacing w:after="120"/>
              <w:rPr>
                <w:rFonts w:ascii="Calibri" w:eastAsia="Calibri" w:hAnsi="Calibri" w:cs="Calibri"/>
                <w:sz w:val="20"/>
                <w:szCs w:val="20"/>
              </w:rPr>
            </w:pPr>
            <w:r w:rsidRPr="007134CE">
              <w:rPr>
                <w:rFonts w:ascii="Calibri" w:eastAsia="MS Mincho" w:hAnsi="Calibri" w:cs="Calibri"/>
                <w:sz w:val="20"/>
                <w:szCs w:val="20"/>
              </w:rPr>
              <w:t xml:space="preserve">- </w:t>
            </w:r>
            <w:r w:rsidRPr="007134CE">
              <w:rPr>
                <w:rFonts w:ascii="Calibri" w:eastAsia="MS Mincho" w:hAnsi="Calibri" w:cs="Calibri"/>
                <w:sz w:val="20"/>
                <w:szCs w:val="20"/>
              </w:rPr>
              <w:tab/>
            </w:r>
            <w:r w:rsidRPr="00BE50FA">
              <w:rPr>
                <w:rFonts w:ascii="Calibri" w:eastAsia="MS Mincho" w:hAnsi="Calibri" w:cs="Calibri"/>
                <w:sz w:val="20"/>
                <w:szCs w:val="20"/>
              </w:rPr>
              <w:t xml:space="preserve">Remarks by </w:t>
            </w:r>
            <w:r w:rsidR="00314DE6" w:rsidRPr="00314DE6">
              <w:rPr>
                <w:rFonts w:ascii="Calibri" w:eastAsia="MS Mincho" w:hAnsi="Calibri" w:cs="Calibri"/>
                <w:sz w:val="20"/>
                <w:szCs w:val="20"/>
              </w:rPr>
              <w:t xml:space="preserve">H.E. Dr. Muhammad Sulaiman Al </w:t>
            </w:r>
            <w:proofErr w:type="spellStart"/>
            <w:r w:rsidR="00314DE6" w:rsidRPr="00314DE6">
              <w:rPr>
                <w:rFonts w:ascii="Calibri" w:eastAsia="MS Mincho" w:hAnsi="Calibri" w:cs="Calibri"/>
                <w:sz w:val="20"/>
                <w:szCs w:val="20"/>
              </w:rPr>
              <w:t>Jasser</w:t>
            </w:r>
            <w:proofErr w:type="spellEnd"/>
            <w:r w:rsidR="00314DE6">
              <w:rPr>
                <w:rFonts w:ascii="Calibri" w:eastAsia="MS Mincho" w:hAnsi="Calibri" w:cs="Calibri"/>
                <w:sz w:val="20"/>
                <w:szCs w:val="20"/>
              </w:rPr>
              <w:t>, Chairman</w:t>
            </w:r>
            <w:r w:rsidR="00195B9B" w:rsidRPr="00BE50FA">
              <w:rPr>
                <w:rFonts w:ascii="Calibri" w:eastAsia="MS Mincho" w:hAnsi="Calibri" w:cs="Calibri"/>
                <w:sz w:val="20"/>
                <w:szCs w:val="20"/>
              </w:rPr>
              <w:t xml:space="preserve"> of IsDB</w:t>
            </w:r>
            <w:r w:rsidRPr="00BE50FA">
              <w:rPr>
                <w:rFonts w:ascii="Calibri" w:eastAsia="MS Mincho" w:hAnsi="Calibri" w:cs="Calibri"/>
                <w:sz w:val="20"/>
                <w:szCs w:val="20"/>
              </w:rPr>
              <w:t xml:space="preserve">, </w:t>
            </w:r>
            <w:r w:rsidRPr="00BE50FA">
              <w:rPr>
                <w:rFonts w:ascii="Calibri" w:eastAsia="Calibri" w:hAnsi="Calibri" w:cs="Calibri"/>
                <w:sz w:val="20"/>
                <w:szCs w:val="20"/>
              </w:rPr>
              <w:t>(TBC)</w:t>
            </w:r>
          </w:p>
          <w:p w14:paraId="5C058B93" w14:textId="57153C5B" w:rsidR="00314DE6" w:rsidRDefault="00195B9B" w:rsidP="007134CE">
            <w:pPr>
              <w:spacing w:after="120"/>
              <w:jc w:val="left"/>
              <w:rPr>
                <w:rFonts w:ascii="Calibri" w:eastAsia="Calibri" w:hAnsi="Calibri" w:cs="Calibri"/>
                <w:sz w:val="20"/>
                <w:szCs w:val="20"/>
              </w:rPr>
            </w:pPr>
            <w:r w:rsidRPr="00BE50FA">
              <w:rPr>
                <w:rFonts w:ascii="Calibri" w:eastAsia="Calibri" w:hAnsi="Calibri" w:cs="Calibri"/>
                <w:sz w:val="20"/>
                <w:szCs w:val="20"/>
              </w:rPr>
              <w:t>-           Remarks by H.E</w:t>
            </w:r>
            <w:r w:rsidR="00314DE6">
              <w:t xml:space="preserve"> </w:t>
            </w:r>
            <w:r w:rsidR="00314DE6" w:rsidRPr="00314DE6">
              <w:rPr>
                <w:rFonts w:ascii="Calibri" w:eastAsia="Calibri" w:hAnsi="Calibri" w:cs="Calibri"/>
                <w:sz w:val="20"/>
                <w:szCs w:val="20"/>
              </w:rPr>
              <w:t xml:space="preserve">Dr. Majid Bin Abdullah Al </w:t>
            </w:r>
            <w:proofErr w:type="spellStart"/>
            <w:r w:rsidR="00314DE6" w:rsidRPr="00314DE6">
              <w:rPr>
                <w:rFonts w:ascii="Calibri" w:eastAsia="Calibri" w:hAnsi="Calibri" w:cs="Calibri"/>
                <w:sz w:val="20"/>
                <w:szCs w:val="20"/>
              </w:rPr>
              <w:t>Qasabi</w:t>
            </w:r>
            <w:proofErr w:type="spellEnd"/>
            <w:r w:rsidR="00314DE6">
              <w:rPr>
                <w:rFonts w:ascii="Calibri" w:eastAsia="Calibri" w:hAnsi="Calibri" w:cs="Calibri"/>
                <w:sz w:val="20"/>
                <w:szCs w:val="20"/>
              </w:rPr>
              <w:t>,</w:t>
            </w:r>
            <w:r w:rsidRPr="00BE50FA">
              <w:rPr>
                <w:rFonts w:ascii="Calibri" w:eastAsia="Calibri" w:hAnsi="Calibri" w:cs="Calibri"/>
                <w:sz w:val="20"/>
                <w:szCs w:val="20"/>
              </w:rPr>
              <w:t xml:space="preserve"> Minister of </w:t>
            </w:r>
            <w:r w:rsidR="00314DE6">
              <w:rPr>
                <w:rFonts w:ascii="Calibri" w:eastAsia="Calibri" w:hAnsi="Calibri" w:cs="Calibri"/>
                <w:sz w:val="20"/>
                <w:szCs w:val="20"/>
              </w:rPr>
              <w:t>Commerce</w:t>
            </w:r>
            <w:r w:rsidRPr="00BE50FA">
              <w:rPr>
                <w:rFonts w:ascii="Calibri" w:eastAsia="Calibri" w:hAnsi="Calibri" w:cs="Calibri"/>
                <w:sz w:val="20"/>
                <w:szCs w:val="20"/>
              </w:rPr>
              <w:t>, Kingdom of Saudi Arabia</w:t>
            </w:r>
            <w:proofErr w:type="gramStart"/>
            <w:r w:rsidRPr="00BE50FA">
              <w:rPr>
                <w:rFonts w:ascii="Calibri" w:eastAsia="Calibri" w:hAnsi="Calibri" w:cs="Calibri"/>
                <w:sz w:val="20"/>
                <w:szCs w:val="20"/>
              </w:rPr>
              <w:t xml:space="preserve"> </w:t>
            </w:r>
            <w:r w:rsidR="00314DE6">
              <w:rPr>
                <w:rFonts w:ascii="Calibri" w:eastAsia="Calibri" w:hAnsi="Calibri" w:cs="Calibri"/>
                <w:sz w:val="20"/>
                <w:szCs w:val="20"/>
              </w:rPr>
              <w:t xml:space="preserve">  </w:t>
            </w:r>
            <w:r w:rsidR="000251D5">
              <w:rPr>
                <w:rFonts w:ascii="Calibri" w:eastAsia="Calibri" w:hAnsi="Calibri" w:cs="Calibri"/>
                <w:sz w:val="20"/>
                <w:szCs w:val="20"/>
              </w:rPr>
              <w:t>(</w:t>
            </w:r>
            <w:proofErr w:type="gramEnd"/>
            <w:r w:rsidR="000251D5">
              <w:rPr>
                <w:rFonts w:ascii="Calibri" w:eastAsia="Calibri" w:hAnsi="Calibri" w:cs="Calibri"/>
                <w:sz w:val="20"/>
                <w:szCs w:val="20"/>
              </w:rPr>
              <w:t>TBC)</w:t>
            </w:r>
          </w:p>
          <w:p w14:paraId="3EFDDBDC" w14:textId="38A3F01F" w:rsidR="00195B9B" w:rsidRPr="007134CE" w:rsidRDefault="00314DE6" w:rsidP="007134CE">
            <w:pPr>
              <w:spacing w:after="120"/>
              <w:jc w:val="left"/>
              <w:rPr>
                <w:rFonts w:ascii="Calibri" w:eastAsia="Calibri" w:hAnsi="Calibri" w:cs="Calibri"/>
                <w:sz w:val="20"/>
                <w:szCs w:val="20"/>
              </w:rPr>
            </w:pPr>
            <w:r>
              <w:rPr>
                <w:rFonts w:ascii="Calibri" w:eastAsia="Calibri" w:hAnsi="Calibri" w:cs="Calibri"/>
                <w:sz w:val="20"/>
                <w:szCs w:val="20"/>
              </w:rPr>
              <w:t xml:space="preserve">            </w:t>
            </w:r>
            <w:r w:rsidR="00195B9B" w:rsidRPr="00BE50FA">
              <w:rPr>
                <w:rFonts w:ascii="Calibri" w:eastAsia="Calibri" w:hAnsi="Calibri" w:cs="Calibri"/>
                <w:sz w:val="20"/>
                <w:szCs w:val="20"/>
              </w:rPr>
              <w:t>(Coordinator</w:t>
            </w:r>
            <w:r w:rsidR="00195B9B">
              <w:rPr>
                <w:rFonts w:ascii="Calibri" w:eastAsia="Calibri" w:hAnsi="Calibri" w:cs="Calibri"/>
                <w:sz w:val="20"/>
                <w:szCs w:val="20"/>
              </w:rPr>
              <w:t xml:space="preserve"> of Arab Group)</w:t>
            </w:r>
          </w:p>
        </w:tc>
      </w:tr>
      <w:tr w:rsidR="00195B9B" w:rsidRPr="007134CE" w14:paraId="2D278FF0" w14:textId="77777777" w:rsidTr="00195B9B">
        <w:trPr>
          <w:trHeight w:val="699"/>
        </w:trPr>
        <w:tc>
          <w:tcPr>
            <w:tcW w:w="5000" w:type="pct"/>
            <w:tcBorders>
              <w:top w:val="single" w:sz="8" w:space="0" w:color="4F81BD"/>
              <w:left w:val="single" w:sz="8" w:space="0" w:color="4F81BD"/>
              <w:right w:val="single" w:sz="8" w:space="0" w:color="4F81BD"/>
            </w:tcBorders>
            <w:shd w:val="clear" w:color="auto" w:fill="DBE5F1"/>
            <w:vAlign w:val="center"/>
          </w:tcPr>
          <w:p w14:paraId="0B2F3597" w14:textId="77777777" w:rsidR="00195B9B" w:rsidRPr="007134CE" w:rsidRDefault="00195B9B" w:rsidP="005D2A90">
            <w:pPr>
              <w:spacing w:after="120"/>
              <w:jc w:val="center"/>
              <w:rPr>
                <w:rFonts w:ascii="Calibri" w:eastAsia="MS Mincho" w:hAnsi="Calibri" w:cs="Calibri"/>
                <w:b/>
                <w:bCs/>
                <w:iCs/>
                <w:sz w:val="20"/>
                <w:szCs w:val="20"/>
                <w:lang w:eastAsia="ja-JP"/>
              </w:rPr>
            </w:pPr>
            <w:r w:rsidRPr="007134CE">
              <w:rPr>
                <w:rFonts w:ascii="Calibri" w:eastAsia="MS Mincho" w:hAnsi="Calibri" w:cs="Calibri"/>
                <w:b/>
                <w:iCs/>
                <w:sz w:val="20"/>
                <w:szCs w:val="20"/>
                <w:lang w:eastAsia="ja-JP"/>
              </w:rPr>
              <w:t xml:space="preserve">Session </w:t>
            </w:r>
            <w:r>
              <w:rPr>
                <w:rFonts w:ascii="Calibri" w:eastAsia="MS Mincho" w:hAnsi="Calibri" w:cs="Calibri"/>
                <w:b/>
                <w:iCs/>
                <w:sz w:val="20"/>
                <w:szCs w:val="20"/>
                <w:lang w:eastAsia="ja-JP"/>
              </w:rPr>
              <w:t>1</w:t>
            </w:r>
            <w:r w:rsidRPr="007134CE">
              <w:rPr>
                <w:rFonts w:ascii="Calibri" w:eastAsia="MS Mincho" w:hAnsi="Calibri" w:cs="Calibri"/>
                <w:b/>
                <w:iCs/>
                <w:sz w:val="20"/>
                <w:szCs w:val="20"/>
                <w:lang w:eastAsia="ja-JP"/>
              </w:rPr>
              <w:t xml:space="preserve">: </w:t>
            </w:r>
            <w:r w:rsidRPr="007134CE">
              <w:rPr>
                <w:rFonts w:ascii="Calibri" w:eastAsia="MS Mincho" w:hAnsi="Calibri" w:cs="Calibri"/>
                <w:b/>
                <w:iCs/>
                <w:sz w:val="20"/>
                <w:szCs w:val="20"/>
                <w:lang w:eastAsia="ja-JP"/>
              </w:rPr>
              <w:br/>
            </w:r>
            <w:r w:rsidRPr="007134CE">
              <w:rPr>
                <w:rFonts w:ascii="Calibri" w:eastAsia="MS Mincho" w:hAnsi="Calibri" w:cs="Calibri"/>
                <w:b/>
                <w:bCs/>
                <w:iCs/>
                <w:sz w:val="20"/>
                <w:szCs w:val="20"/>
                <w:lang w:eastAsia="ja-JP"/>
              </w:rPr>
              <w:t>Overview and State of Play of WTO Accessions in the Arab Region</w:t>
            </w:r>
            <w:r w:rsidRPr="007134CE">
              <w:rPr>
                <w:rFonts w:ascii="Calibri" w:eastAsia="MS Mincho" w:hAnsi="Calibri" w:cs="Calibri"/>
                <w:b/>
                <w:iCs/>
                <w:sz w:val="20"/>
                <w:szCs w:val="20"/>
                <w:lang w:eastAsia="ja-JP"/>
              </w:rPr>
              <w:br/>
            </w:r>
          </w:p>
        </w:tc>
      </w:tr>
      <w:tr w:rsidR="00195B9B" w:rsidRPr="007134CE" w14:paraId="4835FFA9" w14:textId="77777777" w:rsidTr="00195B9B">
        <w:trPr>
          <w:trHeight w:val="20"/>
        </w:trPr>
        <w:tc>
          <w:tcPr>
            <w:tcW w:w="5000" w:type="pct"/>
            <w:tcBorders>
              <w:top w:val="single" w:sz="8" w:space="0" w:color="4F81BD"/>
              <w:left w:val="single" w:sz="8" w:space="0" w:color="4F81BD"/>
              <w:right w:val="single" w:sz="8" w:space="0" w:color="4F81BD"/>
            </w:tcBorders>
            <w:shd w:val="clear" w:color="auto" w:fill="auto"/>
            <w:vAlign w:val="center"/>
          </w:tcPr>
          <w:p w14:paraId="61C9B8DC" w14:textId="01C49FED" w:rsidR="00195B9B" w:rsidRPr="007134CE" w:rsidRDefault="00195B9B" w:rsidP="005D2A90">
            <w:pPr>
              <w:spacing w:after="120"/>
              <w:jc w:val="left"/>
              <w:rPr>
                <w:rFonts w:ascii="Calibri" w:eastAsia="MS Mincho" w:hAnsi="Calibri" w:cs="Calibri"/>
                <w:sz w:val="20"/>
                <w:szCs w:val="20"/>
                <w:lang w:eastAsia="ja-JP"/>
              </w:rPr>
            </w:pPr>
            <w:r w:rsidRPr="007134CE">
              <w:rPr>
                <w:rFonts w:ascii="Calibri" w:eastAsia="MS Mincho" w:hAnsi="Calibri" w:cs="Calibri"/>
                <w:b/>
                <w:bCs/>
                <w:sz w:val="20"/>
                <w:szCs w:val="20"/>
                <w:lang w:eastAsia="ja-JP"/>
              </w:rPr>
              <w:t xml:space="preserve">Speaker: </w:t>
            </w:r>
            <w:r w:rsidR="009A3755" w:rsidRPr="009A3755">
              <w:rPr>
                <w:rFonts w:ascii="Calibri" w:eastAsia="MS Mincho" w:hAnsi="Calibri" w:cs="Calibri"/>
                <w:sz w:val="20"/>
                <w:szCs w:val="20"/>
                <w:lang w:eastAsia="ja-JP"/>
              </w:rPr>
              <w:t xml:space="preserve">Ms. Mena Hassan, Economic Affairs Officer, </w:t>
            </w:r>
            <w:r w:rsidRPr="009A3755">
              <w:rPr>
                <w:rFonts w:ascii="Calibri" w:eastAsia="MS Mincho" w:hAnsi="Calibri" w:cs="Calibri"/>
                <w:sz w:val="20"/>
                <w:szCs w:val="20"/>
                <w:lang w:eastAsia="ja-JP"/>
              </w:rPr>
              <w:t>WTO</w:t>
            </w:r>
            <w:r w:rsidRPr="00563465">
              <w:rPr>
                <w:rFonts w:ascii="Calibri" w:eastAsia="MS Mincho" w:hAnsi="Calibri" w:cs="Calibri"/>
                <w:sz w:val="20"/>
                <w:szCs w:val="20"/>
                <w:lang w:eastAsia="ja-JP"/>
              </w:rPr>
              <w:t xml:space="preserve"> (TBC)</w:t>
            </w:r>
          </w:p>
          <w:p w14:paraId="12C5C57D" w14:textId="77777777" w:rsidR="00195B9B" w:rsidRPr="007134CE" w:rsidRDefault="00195B9B" w:rsidP="005D2A90">
            <w:pPr>
              <w:spacing w:after="120"/>
              <w:jc w:val="left"/>
              <w:rPr>
                <w:rFonts w:ascii="Calibri" w:eastAsia="MS Mincho" w:hAnsi="Calibri" w:cs="Calibri"/>
                <w:sz w:val="20"/>
                <w:szCs w:val="20"/>
                <w:lang w:eastAsia="ja-JP"/>
              </w:rPr>
            </w:pPr>
          </w:p>
        </w:tc>
      </w:tr>
      <w:tr w:rsidR="00195B9B" w:rsidRPr="007134CE" w14:paraId="705C05FD" w14:textId="77777777" w:rsidTr="00195B9B">
        <w:trPr>
          <w:trHeight w:val="20"/>
        </w:trPr>
        <w:tc>
          <w:tcPr>
            <w:tcW w:w="5000" w:type="pct"/>
            <w:tcBorders>
              <w:top w:val="single" w:sz="8" w:space="0" w:color="4F81BD"/>
              <w:left w:val="single" w:sz="8" w:space="0" w:color="4F81BD"/>
              <w:right w:val="single" w:sz="8" w:space="0" w:color="4F81BD"/>
            </w:tcBorders>
            <w:shd w:val="clear" w:color="auto" w:fill="auto"/>
            <w:vAlign w:val="center"/>
          </w:tcPr>
          <w:p w14:paraId="09F01A42" w14:textId="4D92E53F" w:rsidR="00195B9B" w:rsidRDefault="00195B9B" w:rsidP="00195B9B">
            <w:pPr>
              <w:spacing w:after="120"/>
              <w:jc w:val="left"/>
              <w:rPr>
                <w:rFonts w:ascii="Calibri" w:eastAsia="MS Mincho" w:hAnsi="Calibri" w:cs="Calibri"/>
                <w:sz w:val="20"/>
                <w:szCs w:val="20"/>
                <w:lang w:eastAsia="ja-JP"/>
              </w:rPr>
            </w:pPr>
            <w:r w:rsidRPr="007134CE">
              <w:rPr>
                <w:rFonts w:ascii="Calibri" w:eastAsia="MS Mincho" w:hAnsi="Calibri" w:cs="Calibri"/>
                <w:b/>
                <w:bCs/>
                <w:sz w:val="20"/>
                <w:szCs w:val="20"/>
                <w:lang w:eastAsia="ja-JP"/>
              </w:rPr>
              <w:t>Objectives:</w:t>
            </w:r>
            <w:r w:rsidRPr="007134CE">
              <w:rPr>
                <w:rFonts w:ascii="Calibri" w:eastAsia="MS Mincho" w:hAnsi="Calibri" w:cs="Calibri"/>
                <w:sz w:val="20"/>
                <w:szCs w:val="20"/>
                <w:lang w:eastAsia="ja-JP"/>
              </w:rPr>
              <w:t xml:space="preserve"> </w:t>
            </w:r>
            <w:r w:rsidR="00216486">
              <w:rPr>
                <w:rFonts w:ascii="Calibri" w:eastAsia="MS Mincho" w:hAnsi="Calibri" w:cs="Calibri"/>
                <w:sz w:val="20"/>
                <w:szCs w:val="20"/>
                <w:lang w:eastAsia="ja-JP"/>
              </w:rPr>
              <w:t>S</w:t>
            </w:r>
            <w:r w:rsidRPr="007134CE">
              <w:rPr>
                <w:rFonts w:ascii="Calibri" w:eastAsia="MS Mincho" w:hAnsi="Calibri" w:cs="Calibri"/>
                <w:sz w:val="20"/>
                <w:szCs w:val="20"/>
                <w:lang w:eastAsia="ja-JP"/>
              </w:rPr>
              <w:t>trengthen participants’ understanding of the WTO accession process and accession-related rules; and update the participants on the state-of-play of accessions within the region.</w:t>
            </w:r>
          </w:p>
          <w:p w14:paraId="7158A26C" w14:textId="4D3BCB39" w:rsidR="00195B9B" w:rsidRPr="007134CE" w:rsidRDefault="00195B9B" w:rsidP="00195B9B">
            <w:pPr>
              <w:spacing w:after="120"/>
              <w:jc w:val="left"/>
              <w:rPr>
                <w:rFonts w:ascii="Calibri" w:eastAsia="MS Mincho" w:hAnsi="Calibri" w:cs="Calibri"/>
                <w:sz w:val="20"/>
                <w:szCs w:val="20"/>
                <w:lang w:eastAsia="ja-JP"/>
              </w:rPr>
            </w:pPr>
          </w:p>
        </w:tc>
      </w:tr>
      <w:tr w:rsidR="007134CE" w:rsidRPr="007134CE" w14:paraId="4A67AA6A" w14:textId="77777777" w:rsidTr="00195B9B">
        <w:trPr>
          <w:trHeight w:val="699"/>
        </w:trPr>
        <w:tc>
          <w:tcPr>
            <w:tcW w:w="5000" w:type="pct"/>
            <w:tcBorders>
              <w:top w:val="single" w:sz="8" w:space="0" w:color="4F81BD"/>
            </w:tcBorders>
            <w:shd w:val="clear" w:color="auto" w:fill="DBE5F1"/>
            <w:vAlign w:val="center"/>
          </w:tcPr>
          <w:p w14:paraId="0B39DD02" w14:textId="6848B558" w:rsidR="007134CE" w:rsidRPr="007134CE" w:rsidRDefault="007134CE" w:rsidP="007134CE">
            <w:pPr>
              <w:spacing w:after="120"/>
              <w:jc w:val="center"/>
              <w:rPr>
                <w:rFonts w:ascii="Calibri" w:eastAsia="Calibri" w:hAnsi="Calibri" w:cs="Calibri"/>
                <w:b/>
                <w:bCs/>
                <w:iCs/>
                <w:sz w:val="20"/>
                <w:szCs w:val="20"/>
                <w:lang w:eastAsia="ja-JP"/>
              </w:rPr>
            </w:pPr>
            <w:r w:rsidRPr="007134CE">
              <w:rPr>
                <w:rFonts w:ascii="Calibri" w:eastAsia="Calibri" w:hAnsi="Calibri" w:cs="Calibri"/>
                <w:b/>
                <w:bCs/>
                <w:iCs/>
                <w:sz w:val="20"/>
                <w:szCs w:val="20"/>
                <w:lang w:eastAsia="ja-JP"/>
              </w:rPr>
              <w:t xml:space="preserve">Session </w:t>
            </w:r>
            <w:r w:rsidR="00195B9B">
              <w:rPr>
                <w:rFonts w:ascii="Calibri" w:eastAsia="Calibri" w:hAnsi="Calibri" w:cs="Calibri"/>
                <w:b/>
                <w:bCs/>
                <w:iCs/>
                <w:sz w:val="20"/>
                <w:szCs w:val="20"/>
                <w:lang w:eastAsia="ja-JP"/>
              </w:rPr>
              <w:t>2</w:t>
            </w:r>
            <w:r w:rsidRPr="007134CE">
              <w:rPr>
                <w:rFonts w:ascii="Calibri" w:eastAsia="Calibri" w:hAnsi="Calibri" w:cs="Calibri"/>
                <w:b/>
                <w:bCs/>
                <w:iCs/>
                <w:sz w:val="20"/>
                <w:szCs w:val="20"/>
                <w:lang w:eastAsia="ja-JP"/>
              </w:rPr>
              <w:t>: High-level Session</w:t>
            </w:r>
          </w:p>
          <w:p w14:paraId="45E0569D" w14:textId="77777777" w:rsidR="007134CE" w:rsidRPr="007134CE" w:rsidRDefault="007134CE" w:rsidP="007134CE">
            <w:pPr>
              <w:spacing w:after="120"/>
              <w:jc w:val="center"/>
              <w:rPr>
                <w:rFonts w:ascii="Calibri" w:eastAsia="Calibri" w:hAnsi="Calibri" w:cs="Calibri"/>
                <w:b/>
                <w:i/>
                <w:color w:val="1F497D"/>
                <w:sz w:val="20"/>
                <w:szCs w:val="20"/>
                <w:lang w:eastAsia="ja-JP"/>
              </w:rPr>
            </w:pPr>
            <w:r w:rsidRPr="007134CE">
              <w:rPr>
                <w:rFonts w:ascii="Calibri" w:eastAsia="Calibri" w:hAnsi="Calibri" w:cs="Calibri"/>
                <w:b/>
                <w:bCs/>
                <w:iCs/>
                <w:sz w:val="20"/>
                <w:szCs w:val="20"/>
                <w:lang w:eastAsia="ja-JP"/>
              </w:rPr>
              <w:t>Experience sharing session between Arab Acceding Governments</w:t>
            </w:r>
            <w:r w:rsidRPr="007134CE">
              <w:rPr>
                <w:rFonts w:ascii="Calibri" w:eastAsia="Calibri" w:hAnsi="Calibri" w:cs="Calibri"/>
                <w:b/>
                <w:bCs/>
                <w:iCs/>
                <w:sz w:val="20"/>
                <w:szCs w:val="20"/>
                <w:lang w:eastAsia="ja-JP"/>
              </w:rPr>
              <w:br/>
            </w:r>
          </w:p>
        </w:tc>
      </w:tr>
      <w:tr w:rsidR="007134CE" w:rsidRPr="007134CE" w14:paraId="17F61ED0" w14:textId="77777777" w:rsidTr="00195B9B">
        <w:trPr>
          <w:trHeight w:val="20"/>
        </w:trPr>
        <w:tc>
          <w:tcPr>
            <w:tcW w:w="5000" w:type="pct"/>
            <w:tcBorders>
              <w:top w:val="single" w:sz="8" w:space="0" w:color="4F81BD"/>
              <w:bottom w:val="single" w:sz="8" w:space="0" w:color="4F81BD"/>
            </w:tcBorders>
            <w:shd w:val="clear" w:color="auto" w:fill="auto"/>
            <w:vAlign w:val="center"/>
          </w:tcPr>
          <w:p w14:paraId="00F75DEA" w14:textId="12F55EE6" w:rsidR="007134CE" w:rsidRPr="007134CE" w:rsidRDefault="007134CE" w:rsidP="00195B9B">
            <w:pPr>
              <w:spacing w:after="120"/>
              <w:jc w:val="left"/>
              <w:rPr>
                <w:rFonts w:ascii="Calibri" w:eastAsia="Calibri" w:hAnsi="Calibri" w:cs="Calibri"/>
                <w:sz w:val="20"/>
                <w:szCs w:val="20"/>
              </w:rPr>
            </w:pPr>
            <w:r w:rsidRPr="007134CE">
              <w:rPr>
                <w:rFonts w:ascii="Calibri" w:eastAsia="MS Mincho" w:hAnsi="Calibri" w:cs="Calibri"/>
                <w:b/>
                <w:bCs/>
                <w:sz w:val="20"/>
                <w:szCs w:val="20"/>
                <w:lang w:val="en-US"/>
              </w:rPr>
              <w:t>Moderator:</w:t>
            </w:r>
            <w:r w:rsidRPr="007134CE">
              <w:rPr>
                <w:rFonts w:ascii="Calibri" w:eastAsia="MS Mincho" w:hAnsi="Calibri" w:cs="Calibri"/>
                <w:sz w:val="20"/>
                <w:szCs w:val="20"/>
                <w:lang w:val="en-US"/>
              </w:rPr>
              <w:t xml:space="preserve"> </w:t>
            </w:r>
            <w:r w:rsidR="00195B9B" w:rsidRPr="007134CE">
              <w:rPr>
                <w:rFonts w:ascii="Calibri" w:eastAsia="MS Mincho" w:hAnsi="Calibri" w:cs="Calibri"/>
                <w:sz w:val="20"/>
                <w:szCs w:val="20"/>
              </w:rPr>
              <w:t xml:space="preserve">Ambassador Xiangchen Zhang, Deputy Director-General, WTO </w:t>
            </w:r>
            <w:r w:rsidR="00195B9B">
              <w:rPr>
                <w:rFonts w:ascii="Calibri" w:eastAsia="MS Mincho" w:hAnsi="Calibri" w:cs="Calibri"/>
                <w:sz w:val="20"/>
                <w:szCs w:val="20"/>
              </w:rPr>
              <w:t xml:space="preserve">(TBC) </w:t>
            </w:r>
          </w:p>
          <w:p w14:paraId="2CDA9534" w14:textId="77777777" w:rsidR="007134CE" w:rsidRPr="007134CE" w:rsidRDefault="007134CE" w:rsidP="007134CE">
            <w:pPr>
              <w:spacing w:after="120"/>
              <w:jc w:val="left"/>
              <w:rPr>
                <w:rFonts w:ascii="Calibri" w:eastAsia="MS Mincho" w:hAnsi="Calibri" w:cs="Calibri"/>
                <w:b/>
                <w:bCs/>
                <w:sz w:val="20"/>
                <w:szCs w:val="20"/>
                <w:lang w:val="en-US"/>
              </w:rPr>
            </w:pPr>
            <w:r w:rsidRPr="007134CE">
              <w:rPr>
                <w:rFonts w:ascii="Calibri" w:eastAsia="MS Mincho" w:hAnsi="Calibri" w:cs="Calibri"/>
                <w:b/>
                <w:bCs/>
                <w:sz w:val="20"/>
                <w:szCs w:val="20"/>
                <w:lang w:val="en-US"/>
              </w:rPr>
              <w:t>Speakers:</w:t>
            </w:r>
          </w:p>
          <w:p w14:paraId="589AB266" w14:textId="4085F146" w:rsidR="007134CE" w:rsidRPr="007134CE" w:rsidRDefault="007134CE" w:rsidP="007134CE">
            <w:pPr>
              <w:spacing w:after="120"/>
              <w:jc w:val="left"/>
              <w:rPr>
                <w:rFonts w:ascii="Calibri" w:eastAsia="MS Mincho" w:hAnsi="Calibri" w:cs="Calibri"/>
                <w:sz w:val="20"/>
                <w:szCs w:val="20"/>
              </w:rPr>
            </w:pPr>
            <w:r w:rsidRPr="007134CE">
              <w:rPr>
                <w:rFonts w:ascii="Calibri" w:eastAsia="MS Mincho" w:hAnsi="Calibri" w:cs="Calibri"/>
                <w:sz w:val="20"/>
                <w:szCs w:val="20"/>
              </w:rPr>
              <w:t xml:space="preserve">- </w:t>
            </w:r>
            <w:r>
              <w:rPr>
                <w:rFonts w:ascii="Calibri" w:eastAsia="MS Mincho" w:hAnsi="Calibri" w:cs="Calibri"/>
                <w:sz w:val="20"/>
                <w:szCs w:val="20"/>
              </w:rPr>
              <w:t xml:space="preserve">    </w:t>
            </w:r>
            <w:r w:rsidRPr="007134CE">
              <w:rPr>
                <w:rFonts w:ascii="Calibri" w:eastAsia="MS Mincho" w:hAnsi="Calibri" w:cs="Calibri"/>
                <w:sz w:val="20"/>
                <w:szCs w:val="20"/>
              </w:rPr>
              <w:t xml:space="preserve">Algeria- </w:t>
            </w:r>
            <w:r w:rsidR="00195B9B">
              <w:rPr>
                <w:rFonts w:ascii="Calibri" w:eastAsia="MS Mincho" w:hAnsi="Calibri" w:cs="Calibri"/>
                <w:sz w:val="20"/>
                <w:szCs w:val="20"/>
              </w:rPr>
              <w:t>Chief Negotiator for WTO Accession</w:t>
            </w:r>
          </w:p>
          <w:p w14:paraId="0BCA69A2" w14:textId="7F3DADA3" w:rsidR="00195B9B" w:rsidRDefault="007134CE" w:rsidP="007134CE">
            <w:pPr>
              <w:spacing w:after="120"/>
              <w:jc w:val="left"/>
              <w:rPr>
                <w:rFonts w:ascii="Calibri" w:eastAsia="MS Mincho" w:hAnsi="Calibri" w:cs="Calibri"/>
                <w:sz w:val="20"/>
                <w:szCs w:val="20"/>
              </w:rPr>
            </w:pPr>
            <w:r w:rsidRPr="007134CE">
              <w:rPr>
                <w:rFonts w:ascii="Calibri" w:eastAsia="MS Mincho" w:hAnsi="Calibri" w:cs="Calibri"/>
                <w:sz w:val="20"/>
                <w:szCs w:val="20"/>
              </w:rPr>
              <w:t xml:space="preserve">-     Comoros- </w:t>
            </w:r>
            <w:r w:rsidR="00195B9B" w:rsidRPr="00195B9B">
              <w:rPr>
                <w:rFonts w:ascii="Calibri" w:eastAsia="MS Mincho" w:hAnsi="Calibri" w:cs="Calibri"/>
                <w:sz w:val="20"/>
                <w:szCs w:val="20"/>
              </w:rPr>
              <w:t xml:space="preserve">Chief Negotiator </w:t>
            </w:r>
            <w:r w:rsidR="00195B9B">
              <w:rPr>
                <w:rFonts w:ascii="Calibri" w:eastAsia="MS Mincho" w:hAnsi="Calibri" w:cs="Calibri"/>
                <w:sz w:val="20"/>
                <w:szCs w:val="20"/>
              </w:rPr>
              <w:t>f</w:t>
            </w:r>
            <w:r w:rsidR="00195B9B" w:rsidRPr="00195B9B">
              <w:rPr>
                <w:rFonts w:ascii="Calibri" w:eastAsia="MS Mincho" w:hAnsi="Calibri" w:cs="Calibri"/>
                <w:sz w:val="20"/>
                <w:szCs w:val="20"/>
              </w:rPr>
              <w:t>o</w:t>
            </w:r>
            <w:r w:rsidR="00195B9B">
              <w:rPr>
                <w:rFonts w:ascii="Calibri" w:eastAsia="MS Mincho" w:hAnsi="Calibri" w:cs="Calibri"/>
                <w:sz w:val="20"/>
                <w:szCs w:val="20"/>
              </w:rPr>
              <w:t>r</w:t>
            </w:r>
            <w:r w:rsidR="00195B9B" w:rsidRPr="00195B9B">
              <w:rPr>
                <w:rFonts w:ascii="Calibri" w:eastAsia="MS Mincho" w:hAnsi="Calibri" w:cs="Calibri"/>
                <w:sz w:val="20"/>
                <w:szCs w:val="20"/>
              </w:rPr>
              <w:t xml:space="preserve"> WTO Accession </w:t>
            </w:r>
          </w:p>
          <w:p w14:paraId="379C6005" w14:textId="186496A0" w:rsidR="007134CE" w:rsidRPr="007134CE" w:rsidRDefault="007134CE" w:rsidP="007134CE">
            <w:pPr>
              <w:spacing w:after="120"/>
              <w:jc w:val="left"/>
              <w:rPr>
                <w:rFonts w:ascii="Calibri" w:eastAsia="MS Mincho" w:hAnsi="Calibri" w:cs="Calibri"/>
                <w:sz w:val="20"/>
                <w:szCs w:val="20"/>
              </w:rPr>
            </w:pPr>
            <w:r w:rsidRPr="007134CE">
              <w:rPr>
                <w:rFonts w:ascii="Calibri" w:eastAsia="MS Mincho" w:hAnsi="Calibri" w:cs="Calibri"/>
                <w:sz w:val="20"/>
                <w:szCs w:val="20"/>
              </w:rPr>
              <w:t xml:space="preserve">-     Iraq- </w:t>
            </w:r>
            <w:r w:rsidR="00195B9B">
              <w:rPr>
                <w:rFonts w:ascii="Calibri" w:eastAsia="MS Mincho" w:hAnsi="Calibri" w:cs="Calibri"/>
                <w:sz w:val="20"/>
                <w:szCs w:val="20"/>
              </w:rPr>
              <w:t>Chief Negotiator for WTO Accession</w:t>
            </w:r>
          </w:p>
          <w:p w14:paraId="051C6A39" w14:textId="1AD0D0E1" w:rsidR="007134CE" w:rsidRPr="007134CE" w:rsidRDefault="007134CE" w:rsidP="007134CE">
            <w:pPr>
              <w:spacing w:after="120"/>
              <w:jc w:val="left"/>
              <w:rPr>
                <w:rFonts w:ascii="Calibri" w:eastAsia="MS Mincho" w:hAnsi="Calibri" w:cs="Calibri"/>
                <w:sz w:val="20"/>
                <w:szCs w:val="20"/>
              </w:rPr>
            </w:pPr>
            <w:r w:rsidRPr="007134CE">
              <w:rPr>
                <w:rFonts w:ascii="Calibri" w:eastAsia="MS Mincho" w:hAnsi="Calibri" w:cs="Calibri"/>
                <w:sz w:val="20"/>
                <w:szCs w:val="20"/>
              </w:rPr>
              <w:t xml:space="preserve">-     Lebanese republic- </w:t>
            </w:r>
            <w:r w:rsidR="00195B9B" w:rsidRPr="00195B9B">
              <w:rPr>
                <w:rFonts w:ascii="Calibri" w:eastAsia="MS Mincho" w:hAnsi="Calibri" w:cs="Calibri"/>
                <w:sz w:val="20"/>
                <w:szCs w:val="20"/>
              </w:rPr>
              <w:t>Chief Negotiator for WTO Accession</w:t>
            </w:r>
          </w:p>
          <w:p w14:paraId="2E23CE58" w14:textId="3BC13E01" w:rsidR="007134CE" w:rsidRPr="007134CE" w:rsidRDefault="007134CE" w:rsidP="007134CE">
            <w:pPr>
              <w:spacing w:after="120"/>
              <w:jc w:val="left"/>
              <w:rPr>
                <w:rFonts w:ascii="Calibri" w:eastAsia="MS Mincho" w:hAnsi="Calibri" w:cs="Calibri"/>
                <w:sz w:val="20"/>
                <w:szCs w:val="20"/>
              </w:rPr>
            </w:pPr>
            <w:r w:rsidRPr="007134CE">
              <w:rPr>
                <w:rFonts w:ascii="Calibri" w:eastAsia="MS Mincho" w:hAnsi="Calibri" w:cs="Calibri"/>
                <w:sz w:val="20"/>
                <w:szCs w:val="20"/>
              </w:rPr>
              <w:t xml:space="preserve">-     Libya- </w:t>
            </w:r>
            <w:r w:rsidR="00195B9B" w:rsidRPr="00195B9B">
              <w:rPr>
                <w:rFonts w:ascii="Calibri" w:eastAsia="MS Mincho" w:hAnsi="Calibri" w:cs="Calibri"/>
                <w:sz w:val="20"/>
                <w:szCs w:val="20"/>
              </w:rPr>
              <w:t>Chief Negotiator for WTO Accession</w:t>
            </w:r>
          </w:p>
          <w:p w14:paraId="448F5F4E" w14:textId="77777777" w:rsidR="00195B9B" w:rsidRDefault="007134CE" w:rsidP="007134CE">
            <w:pPr>
              <w:spacing w:after="120"/>
              <w:jc w:val="left"/>
              <w:rPr>
                <w:rFonts w:ascii="Calibri" w:eastAsia="MS Mincho" w:hAnsi="Calibri" w:cs="Calibri"/>
                <w:sz w:val="20"/>
                <w:szCs w:val="20"/>
              </w:rPr>
            </w:pPr>
            <w:r w:rsidRPr="007134CE">
              <w:rPr>
                <w:rFonts w:ascii="Calibri" w:eastAsia="MS Mincho" w:hAnsi="Calibri" w:cs="Calibri"/>
                <w:sz w:val="20"/>
                <w:szCs w:val="20"/>
              </w:rPr>
              <w:t xml:space="preserve">-     Somalia- </w:t>
            </w:r>
            <w:r w:rsidR="00195B9B" w:rsidRPr="00195B9B">
              <w:rPr>
                <w:rFonts w:ascii="Calibri" w:eastAsia="MS Mincho" w:hAnsi="Calibri" w:cs="Calibri"/>
                <w:sz w:val="20"/>
                <w:szCs w:val="20"/>
              </w:rPr>
              <w:t xml:space="preserve">Chief Negotiator for WTO Accession </w:t>
            </w:r>
          </w:p>
          <w:p w14:paraId="4BA1EB0B" w14:textId="77777777" w:rsidR="00195B9B" w:rsidRDefault="00195B9B" w:rsidP="007134CE">
            <w:pPr>
              <w:spacing w:after="120"/>
              <w:jc w:val="left"/>
              <w:rPr>
                <w:rFonts w:ascii="Calibri" w:eastAsia="MS Mincho" w:hAnsi="Calibri" w:cs="Calibri"/>
                <w:sz w:val="20"/>
                <w:szCs w:val="20"/>
              </w:rPr>
            </w:pPr>
            <w:r>
              <w:rPr>
                <w:rFonts w:ascii="Calibri" w:eastAsia="MS Mincho" w:hAnsi="Calibri" w:cs="Calibri"/>
                <w:sz w:val="20"/>
                <w:szCs w:val="20"/>
              </w:rPr>
              <w:t>-</w:t>
            </w:r>
            <w:r w:rsidR="007134CE" w:rsidRPr="007134CE">
              <w:rPr>
                <w:rFonts w:ascii="Calibri" w:eastAsia="MS Mincho" w:hAnsi="Calibri" w:cs="Calibri"/>
                <w:sz w:val="20"/>
                <w:szCs w:val="20"/>
              </w:rPr>
              <w:t xml:space="preserve">     Sudan- </w:t>
            </w:r>
            <w:r w:rsidRPr="00195B9B">
              <w:rPr>
                <w:rFonts w:ascii="Calibri" w:eastAsia="MS Mincho" w:hAnsi="Calibri" w:cs="Calibri"/>
                <w:sz w:val="20"/>
                <w:szCs w:val="20"/>
              </w:rPr>
              <w:t xml:space="preserve">Chief Negotiator for WTO Accession </w:t>
            </w:r>
          </w:p>
          <w:p w14:paraId="3518EAD8" w14:textId="47352793" w:rsidR="007134CE" w:rsidRPr="007134CE" w:rsidRDefault="007134CE" w:rsidP="007134CE">
            <w:pPr>
              <w:spacing w:after="120"/>
              <w:jc w:val="left"/>
              <w:rPr>
                <w:rFonts w:ascii="Calibri" w:eastAsia="MS Mincho" w:hAnsi="Calibri" w:cs="Calibri"/>
                <w:b/>
                <w:bCs/>
                <w:sz w:val="20"/>
                <w:szCs w:val="20"/>
              </w:rPr>
            </w:pPr>
            <w:r w:rsidRPr="007134CE">
              <w:rPr>
                <w:rFonts w:ascii="Calibri" w:eastAsia="MS Mincho" w:hAnsi="Calibri" w:cs="Calibri"/>
                <w:sz w:val="20"/>
                <w:szCs w:val="20"/>
              </w:rPr>
              <w:t xml:space="preserve">-    Syrian Arab Republic- </w:t>
            </w:r>
            <w:r w:rsidR="00195B9B" w:rsidRPr="00195B9B">
              <w:rPr>
                <w:rFonts w:ascii="Calibri" w:eastAsia="MS Mincho" w:hAnsi="Calibri" w:cs="Calibri"/>
                <w:sz w:val="20"/>
                <w:szCs w:val="20"/>
              </w:rPr>
              <w:t>Chief Negotiator for WTO Accession</w:t>
            </w:r>
          </w:p>
        </w:tc>
      </w:tr>
      <w:tr w:rsidR="007134CE" w:rsidRPr="007134CE" w14:paraId="6433DA07"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5808C9D5" w14:textId="5F353EF3" w:rsidR="00DB7B68" w:rsidRPr="007134CE" w:rsidRDefault="007134CE" w:rsidP="00B63904">
            <w:pPr>
              <w:spacing w:after="120"/>
              <w:rPr>
                <w:rFonts w:ascii="Calibri" w:eastAsia="MS Mincho" w:hAnsi="Calibri" w:cs="Calibri"/>
                <w:iCs/>
                <w:sz w:val="20"/>
                <w:szCs w:val="20"/>
                <w:lang w:eastAsia="ja-JP"/>
              </w:rPr>
            </w:pPr>
            <w:r w:rsidRPr="007134CE">
              <w:rPr>
                <w:rFonts w:ascii="Calibri" w:eastAsia="MS Mincho" w:hAnsi="Calibri" w:cs="Calibri"/>
                <w:b/>
                <w:bCs/>
                <w:iCs/>
                <w:sz w:val="20"/>
                <w:szCs w:val="20"/>
                <w:lang w:eastAsia="ja-JP"/>
              </w:rPr>
              <w:t>Objectives:</w:t>
            </w:r>
            <w:r w:rsidRPr="007134CE">
              <w:rPr>
                <w:rFonts w:ascii="Calibri" w:eastAsia="MS Mincho" w:hAnsi="Calibri" w:cs="Calibri"/>
                <w:iCs/>
                <w:sz w:val="20"/>
                <w:szCs w:val="20"/>
                <w:lang w:eastAsia="ja-JP"/>
              </w:rPr>
              <w:t xml:space="preserve"> Experience sharing session between Arab Acceding Governments. This session will focus on the biggest challenges but also opportunities for WTO accession</w:t>
            </w:r>
            <w:r w:rsidR="00563465">
              <w:rPr>
                <w:rFonts w:ascii="Calibri" w:eastAsia="MS Mincho" w:hAnsi="Calibri" w:cs="Calibri"/>
                <w:iCs/>
                <w:sz w:val="20"/>
                <w:szCs w:val="20"/>
                <w:lang w:eastAsia="ja-JP"/>
              </w:rPr>
              <w:t>.</w:t>
            </w:r>
            <w:r w:rsidRPr="007134CE">
              <w:rPr>
                <w:rFonts w:ascii="Calibri" w:eastAsia="MS Mincho" w:hAnsi="Calibri" w:cs="Calibri"/>
                <w:iCs/>
                <w:sz w:val="20"/>
                <w:szCs w:val="20"/>
                <w:lang w:eastAsia="ja-JP"/>
              </w:rPr>
              <w:t xml:space="preserve"> </w:t>
            </w:r>
          </w:p>
        </w:tc>
      </w:tr>
      <w:tr w:rsidR="00563465" w:rsidRPr="007134CE" w14:paraId="1F1C18F4"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95B3D7"/>
            <w:vAlign w:val="center"/>
          </w:tcPr>
          <w:p w14:paraId="3652BCA7" w14:textId="5FFEA668" w:rsidR="007134CE" w:rsidRPr="007134CE" w:rsidRDefault="007134CE" w:rsidP="007134CE">
            <w:pPr>
              <w:spacing w:after="120"/>
              <w:jc w:val="center"/>
              <w:rPr>
                <w:rFonts w:ascii="Calibri" w:eastAsia="Calibri" w:hAnsi="Calibri" w:cs="Calibri"/>
                <w:b/>
                <w:bCs/>
                <w:iCs/>
                <w:sz w:val="24"/>
                <w:szCs w:val="24"/>
                <w:lang w:eastAsia="ja-JP"/>
              </w:rPr>
            </w:pPr>
            <w:r w:rsidRPr="007134CE">
              <w:rPr>
                <w:rFonts w:ascii="Calibri" w:eastAsia="Calibri" w:hAnsi="Calibri" w:cs="Calibri"/>
                <w:b/>
                <w:bCs/>
                <w:iCs/>
                <w:sz w:val="24"/>
                <w:szCs w:val="24"/>
                <w:lang w:eastAsia="ja-JP"/>
              </w:rPr>
              <w:lastRenderedPageBreak/>
              <w:t xml:space="preserve">DAY 2: Tuesday </w:t>
            </w:r>
            <w:r w:rsidR="00216486">
              <w:rPr>
                <w:rFonts w:ascii="Calibri" w:eastAsia="Calibri" w:hAnsi="Calibri" w:cs="Calibri"/>
                <w:b/>
                <w:bCs/>
                <w:iCs/>
                <w:sz w:val="24"/>
                <w:szCs w:val="24"/>
                <w:lang w:eastAsia="ja-JP"/>
              </w:rPr>
              <w:t>8 February 2022</w:t>
            </w:r>
          </w:p>
        </w:tc>
      </w:tr>
      <w:tr w:rsidR="007134CE" w:rsidRPr="007134CE" w14:paraId="6103837B" w14:textId="77777777" w:rsidTr="00195B9B">
        <w:trPr>
          <w:trHeight w:val="919"/>
        </w:trPr>
        <w:tc>
          <w:tcPr>
            <w:tcW w:w="5000" w:type="pct"/>
            <w:tcBorders>
              <w:top w:val="single" w:sz="8" w:space="0" w:color="4F81BD"/>
              <w:left w:val="single" w:sz="8" w:space="0" w:color="4F81BD"/>
              <w:right w:val="single" w:sz="8" w:space="0" w:color="4F81BD"/>
            </w:tcBorders>
            <w:shd w:val="clear" w:color="auto" w:fill="DBE5F1"/>
            <w:vAlign w:val="center"/>
          </w:tcPr>
          <w:p w14:paraId="13F60AA8" w14:textId="77777777" w:rsidR="007134CE" w:rsidRPr="007134CE" w:rsidRDefault="007134CE" w:rsidP="007134CE">
            <w:pPr>
              <w:spacing w:after="120"/>
              <w:jc w:val="center"/>
              <w:rPr>
                <w:rFonts w:ascii="Calibri" w:eastAsia="MS Mincho" w:hAnsi="Calibri" w:cs="Calibri"/>
                <w:b/>
                <w:iCs/>
                <w:sz w:val="20"/>
                <w:szCs w:val="20"/>
                <w:lang w:eastAsia="ja-JP"/>
              </w:rPr>
            </w:pPr>
            <w:bookmarkStart w:id="5" w:name="_Hlk54286754"/>
            <w:r w:rsidRPr="007134CE">
              <w:rPr>
                <w:rFonts w:ascii="Calibri" w:eastAsia="MS Mincho" w:hAnsi="Calibri" w:cs="Calibri"/>
                <w:b/>
                <w:sz w:val="20"/>
                <w:szCs w:val="20"/>
                <w:lang w:eastAsia="ja-JP"/>
              </w:rPr>
              <w:t xml:space="preserve"> Session 3:  </w:t>
            </w:r>
            <w:r w:rsidRPr="007134CE">
              <w:rPr>
                <w:rFonts w:ascii="Calibri" w:eastAsia="MS Mincho" w:hAnsi="Calibri" w:cs="Calibri"/>
                <w:b/>
                <w:sz w:val="20"/>
                <w:szCs w:val="20"/>
                <w:lang w:eastAsia="ja-JP"/>
              </w:rPr>
              <w:br/>
              <w:t>Trade in Services: Opportunities and Challenges Today</w:t>
            </w:r>
          </w:p>
        </w:tc>
      </w:tr>
      <w:tr w:rsidR="007134CE" w:rsidRPr="007134CE" w14:paraId="4D3A6AC6"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5ED7E537" w14:textId="2882873F" w:rsidR="007134CE" w:rsidRPr="007134CE" w:rsidRDefault="007134CE" w:rsidP="007134CE">
            <w:pPr>
              <w:spacing w:after="120"/>
              <w:jc w:val="left"/>
              <w:rPr>
                <w:rFonts w:ascii="Calibri" w:eastAsia="MS Mincho" w:hAnsi="Calibri" w:cs="Calibri"/>
                <w:sz w:val="20"/>
                <w:szCs w:val="20"/>
                <w:lang w:eastAsia="ja-JP"/>
              </w:rPr>
            </w:pPr>
            <w:r w:rsidRPr="007134CE">
              <w:rPr>
                <w:rFonts w:ascii="Calibri" w:eastAsia="MS Mincho" w:hAnsi="Calibri" w:cs="Calibri"/>
                <w:b/>
                <w:bCs/>
                <w:sz w:val="20"/>
                <w:szCs w:val="20"/>
                <w:lang w:eastAsia="ja-JP"/>
              </w:rPr>
              <w:t xml:space="preserve">Speakers: </w:t>
            </w:r>
            <w:r w:rsidR="00563465" w:rsidRPr="00563465">
              <w:rPr>
                <w:rFonts w:ascii="Calibri" w:eastAsia="MS Mincho" w:hAnsi="Calibri" w:cs="Calibri"/>
                <w:sz w:val="20"/>
                <w:szCs w:val="20"/>
                <w:lang w:eastAsia="ja-JP"/>
              </w:rPr>
              <w:t xml:space="preserve">Mr. Hamid Mamdouh, </w:t>
            </w:r>
            <w:r w:rsidR="00563465">
              <w:rPr>
                <w:rFonts w:ascii="Calibri" w:eastAsia="MS Mincho" w:hAnsi="Calibri" w:cs="Calibri"/>
                <w:sz w:val="20"/>
                <w:szCs w:val="20"/>
                <w:lang w:eastAsia="ja-JP"/>
              </w:rPr>
              <w:t>Former Director of the Services Division, WTO (TBC)</w:t>
            </w:r>
          </w:p>
          <w:p w14:paraId="1B815F86" w14:textId="1D67151D" w:rsidR="00563465" w:rsidRPr="007134CE" w:rsidRDefault="00563465" w:rsidP="00563465">
            <w:pPr>
              <w:spacing w:after="120"/>
              <w:jc w:val="left"/>
              <w:rPr>
                <w:rFonts w:ascii="Calibri" w:eastAsia="MS Mincho" w:hAnsi="Calibri" w:cs="Calibri"/>
                <w:iCs/>
                <w:sz w:val="20"/>
                <w:szCs w:val="20"/>
                <w:lang w:eastAsia="ja-JP"/>
              </w:rPr>
            </w:pPr>
            <w:r>
              <w:rPr>
                <w:rFonts w:ascii="Calibri" w:eastAsia="MS Mincho" w:hAnsi="Calibri" w:cs="Calibri"/>
                <w:iCs/>
                <w:sz w:val="20"/>
                <w:szCs w:val="20"/>
                <w:lang w:eastAsia="ja-JP"/>
              </w:rPr>
              <w:t xml:space="preserve">- </w:t>
            </w:r>
          </w:p>
        </w:tc>
      </w:tr>
      <w:tr w:rsidR="007134CE" w:rsidRPr="007134CE" w14:paraId="2500A524"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551F18A0" w14:textId="606C25BF" w:rsidR="007134CE" w:rsidRPr="007134CE" w:rsidRDefault="007134CE" w:rsidP="00216486">
            <w:pPr>
              <w:spacing w:after="120"/>
              <w:rPr>
                <w:rFonts w:ascii="Calibri" w:eastAsia="MS Mincho" w:hAnsi="Calibri" w:cs="Calibri"/>
                <w:iCs/>
                <w:sz w:val="20"/>
                <w:szCs w:val="20"/>
                <w:lang w:eastAsia="ja-JP"/>
              </w:rPr>
            </w:pPr>
            <w:r w:rsidRPr="007134CE">
              <w:rPr>
                <w:rFonts w:ascii="Calibri" w:eastAsia="MS Mincho" w:hAnsi="Calibri" w:cs="Calibri"/>
                <w:b/>
                <w:bCs/>
                <w:iCs/>
                <w:sz w:val="20"/>
                <w:szCs w:val="20"/>
                <w:lang w:eastAsia="ja-JP"/>
              </w:rPr>
              <w:t>Objectives:</w:t>
            </w:r>
            <w:r w:rsidRPr="007134CE">
              <w:rPr>
                <w:rFonts w:ascii="Calibri" w:eastAsia="MS Mincho" w:hAnsi="Calibri" w:cs="Calibri"/>
                <w:iCs/>
                <w:sz w:val="20"/>
                <w:szCs w:val="20"/>
                <w:lang w:eastAsia="ja-JP"/>
              </w:rPr>
              <w:t xml:space="preserve"> </w:t>
            </w:r>
            <w:r w:rsidR="00216486">
              <w:rPr>
                <w:rFonts w:ascii="Calibri" w:eastAsia="MS Mincho" w:hAnsi="Calibri" w:cs="Calibri"/>
                <w:iCs/>
                <w:sz w:val="20"/>
                <w:szCs w:val="20"/>
                <w:lang w:eastAsia="ja-JP"/>
              </w:rPr>
              <w:t>D</w:t>
            </w:r>
            <w:r w:rsidRPr="007134CE">
              <w:rPr>
                <w:rFonts w:ascii="Calibri" w:eastAsia="MS Mincho" w:hAnsi="Calibri" w:cs="Calibri"/>
                <w:iCs/>
                <w:sz w:val="20"/>
                <w:szCs w:val="20"/>
                <w:lang w:eastAsia="ja-JP"/>
              </w:rPr>
              <w:t xml:space="preserve">emonstrate the ability to improve trade in services through adherence to WTO agreements and international best practices and the synergies and complementarities of the WTO Services Agreement and </w:t>
            </w:r>
            <w:r>
              <w:rPr>
                <w:rFonts w:ascii="Calibri" w:eastAsia="MS Mincho" w:hAnsi="Calibri" w:cs="Calibri"/>
                <w:iCs/>
                <w:sz w:val="20"/>
                <w:szCs w:val="20"/>
                <w:lang w:eastAsia="ja-JP"/>
              </w:rPr>
              <w:t>s</w:t>
            </w:r>
            <w:r w:rsidRPr="007134CE">
              <w:rPr>
                <w:rFonts w:ascii="Calibri" w:eastAsia="MS Mincho" w:hAnsi="Calibri" w:cs="Calibri"/>
                <w:iCs/>
                <w:sz w:val="20"/>
                <w:szCs w:val="20"/>
                <w:lang w:eastAsia="ja-JP"/>
              </w:rPr>
              <w:t>ervices under the GAFTA.</w:t>
            </w:r>
          </w:p>
        </w:tc>
      </w:tr>
      <w:tr w:rsidR="007134CE" w:rsidRPr="007134CE" w14:paraId="474BC812" w14:textId="77777777" w:rsidTr="00195B9B">
        <w:trPr>
          <w:trHeight w:val="20"/>
        </w:trPr>
        <w:tc>
          <w:tcPr>
            <w:tcW w:w="5000" w:type="pct"/>
            <w:tcBorders>
              <w:top w:val="single" w:sz="8" w:space="0" w:color="4F81BD"/>
              <w:left w:val="single" w:sz="8" w:space="0" w:color="4F81BD"/>
              <w:right w:val="single" w:sz="8" w:space="0" w:color="4F81BD"/>
            </w:tcBorders>
            <w:shd w:val="clear" w:color="auto" w:fill="auto"/>
            <w:vAlign w:val="center"/>
          </w:tcPr>
          <w:p w14:paraId="24CC28F3" w14:textId="77777777" w:rsidR="007134CE" w:rsidRPr="007134CE" w:rsidRDefault="007134CE" w:rsidP="007134CE">
            <w:pPr>
              <w:spacing w:after="120"/>
              <w:jc w:val="center"/>
              <w:rPr>
                <w:rFonts w:ascii="Calibri" w:eastAsia="MS Mincho" w:hAnsi="Calibri" w:cs="Calibri"/>
                <w:b/>
                <w:bCs/>
                <w:i/>
                <w:sz w:val="20"/>
                <w:szCs w:val="20"/>
                <w:lang w:eastAsia="ja-JP"/>
              </w:rPr>
            </w:pPr>
            <w:bookmarkStart w:id="6" w:name="_Hlk83642839"/>
            <w:r w:rsidRPr="007134CE">
              <w:rPr>
                <w:rFonts w:ascii="Calibri" w:eastAsia="MS Mincho" w:hAnsi="Calibri" w:cs="Calibri"/>
                <w:b/>
                <w:bCs/>
                <w:i/>
                <w:sz w:val="20"/>
                <w:szCs w:val="20"/>
                <w:lang w:eastAsia="ja-JP"/>
              </w:rPr>
              <w:t>Short break</w:t>
            </w:r>
          </w:p>
        </w:tc>
      </w:tr>
      <w:bookmarkEnd w:id="6"/>
      <w:tr w:rsidR="00563465" w:rsidRPr="007134CE" w14:paraId="6391A055" w14:textId="77777777" w:rsidTr="00195B9B">
        <w:trPr>
          <w:trHeight w:val="20"/>
        </w:trPr>
        <w:tc>
          <w:tcPr>
            <w:tcW w:w="5000" w:type="pct"/>
            <w:tcBorders>
              <w:top w:val="single" w:sz="8" w:space="0" w:color="4F81BD"/>
              <w:left w:val="single" w:sz="8" w:space="0" w:color="4F81BD"/>
              <w:right w:val="single" w:sz="8" w:space="0" w:color="4F81BD"/>
            </w:tcBorders>
            <w:shd w:val="clear" w:color="auto" w:fill="DBE5F1"/>
            <w:vAlign w:val="center"/>
          </w:tcPr>
          <w:p w14:paraId="4147338E" w14:textId="22E97995" w:rsidR="007134CE" w:rsidRPr="007134CE" w:rsidRDefault="007134CE" w:rsidP="007134CE">
            <w:pPr>
              <w:spacing w:after="120"/>
              <w:jc w:val="center"/>
              <w:rPr>
                <w:rFonts w:ascii="Calibri" w:eastAsia="MS Mincho" w:hAnsi="Calibri" w:cs="Calibri"/>
                <w:b/>
                <w:sz w:val="20"/>
                <w:szCs w:val="20"/>
                <w:lang w:eastAsia="ja-JP"/>
              </w:rPr>
            </w:pPr>
            <w:r w:rsidRPr="007134CE">
              <w:rPr>
                <w:rFonts w:ascii="Calibri" w:eastAsia="MS Mincho" w:hAnsi="Calibri" w:cs="Calibri"/>
                <w:b/>
                <w:sz w:val="20"/>
                <w:szCs w:val="20"/>
                <w:lang w:eastAsia="ja-JP"/>
              </w:rPr>
              <w:t xml:space="preserve">Session 4:  </w:t>
            </w:r>
            <w:r w:rsidRPr="007134CE">
              <w:rPr>
                <w:rFonts w:ascii="Calibri" w:eastAsia="MS Mincho" w:hAnsi="Calibri" w:cs="Calibri"/>
                <w:b/>
                <w:sz w:val="20"/>
                <w:szCs w:val="20"/>
                <w:lang w:eastAsia="ja-JP"/>
              </w:rPr>
              <w:br/>
            </w:r>
            <w:r>
              <w:rPr>
                <w:rFonts w:ascii="Calibri" w:eastAsia="MS Mincho" w:hAnsi="Calibri" w:cs="Calibri"/>
                <w:b/>
                <w:sz w:val="20"/>
                <w:szCs w:val="20"/>
                <w:lang w:eastAsia="ja-JP"/>
              </w:rPr>
              <w:t xml:space="preserve">The Role of the Private Sector </w:t>
            </w:r>
            <w:r w:rsidR="00563465">
              <w:rPr>
                <w:rFonts w:ascii="Calibri" w:eastAsia="MS Mincho" w:hAnsi="Calibri" w:cs="Calibri"/>
                <w:b/>
                <w:sz w:val="20"/>
                <w:szCs w:val="20"/>
                <w:lang w:eastAsia="ja-JP"/>
              </w:rPr>
              <w:t xml:space="preserve">in </w:t>
            </w:r>
            <w:r w:rsidR="00563465" w:rsidRPr="007134CE">
              <w:rPr>
                <w:rFonts w:ascii="Calibri" w:eastAsia="MS Mincho" w:hAnsi="Calibri" w:cs="Calibri"/>
                <w:b/>
                <w:sz w:val="20"/>
                <w:szCs w:val="20"/>
                <w:lang w:eastAsia="ja-JP"/>
              </w:rPr>
              <w:t>WTO</w:t>
            </w:r>
            <w:r w:rsidRPr="007134CE">
              <w:rPr>
                <w:rFonts w:ascii="Calibri" w:eastAsia="MS Mincho" w:hAnsi="Calibri" w:cs="Calibri"/>
                <w:b/>
                <w:sz w:val="20"/>
                <w:szCs w:val="20"/>
                <w:lang w:eastAsia="ja-JP"/>
              </w:rPr>
              <w:t xml:space="preserve"> Accession</w:t>
            </w:r>
            <w:r>
              <w:rPr>
                <w:rFonts w:ascii="Calibri" w:eastAsia="MS Mincho" w:hAnsi="Calibri" w:cs="Calibri"/>
                <w:b/>
                <w:sz w:val="20"/>
                <w:szCs w:val="20"/>
                <w:lang w:eastAsia="ja-JP"/>
              </w:rPr>
              <w:t xml:space="preserve"> of Arab countries</w:t>
            </w:r>
            <w:r w:rsidRPr="007134CE">
              <w:rPr>
                <w:rFonts w:ascii="Calibri" w:eastAsia="MS Mincho" w:hAnsi="Calibri" w:cs="Calibri"/>
                <w:b/>
                <w:sz w:val="20"/>
                <w:szCs w:val="20"/>
                <w:lang w:eastAsia="ja-JP"/>
              </w:rPr>
              <w:br/>
            </w:r>
          </w:p>
        </w:tc>
      </w:tr>
      <w:tr w:rsidR="007134CE" w:rsidRPr="007134CE" w14:paraId="1D3FD7D5" w14:textId="77777777" w:rsidTr="00195B9B">
        <w:trPr>
          <w:trHeight w:val="20"/>
        </w:trPr>
        <w:tc>
          <w:tcPr>
            <w:tcW w:w="5000" w:type="pct"/>
            <w:tcBorders>
              <w:top w:val="single" w:sz="8" w:space="0" w:color="4F81BD"/>
              <w:left w:val="single" w:sz="8" w:space="0" w:color="4F81BD"/>
              <w:right w:val="single" w:sz="8" w:space="0" w:color="4F81BD"/>
            </w:tcBorders>
            <w:shd w:val="clear" w:color="auto" w:fill="auto"/>
            <w:vAlign w:val="center"/>
          </w:tcPr>
          <w:p w14:paraId="64C0BD3C" w14:textId="21CFF55B" w:rsidR="007134CE" w:rsidRDefault="007134CE" w:rsidP="00563465">
            <w:pPr>
              <w:spacing w:after="120"/>
              <w:rPr>
                <w:rFonts w:ascii="Calibri" w:eastAsia="MS Mincho" w:hAnsi="Calibri" w:cs="Calibri"/>
                <w:sz w:val="20"/>
                <w:szCs w:val="20"/>
                <w:lang w:eastAsia="ja-JP"/>
              </w:rPr>
            </w:pPr>
            <w:r w:rsidRPr="007134CE">
              <w:rPr>
                <w:rFonts w:ascii="Calibri" w:eastAsia="MS Mincho" w:hAnsi="Calibri" w:cs="Calibri"/>
                <w:b/>
                <w:bCs/>
                <w:sz w:val="20"/>
                <w:szCs w:val="20"/>
                <w:lang w:eastAsia="ja-JP"/>
              </w:rPr>
              <w:t xml:space="preserve">Speakers: </w:t>
            </w:r>
            <w:r w:rsidR="00563465" w:rsidRPr="00563465">
              <w:rPr>
                <w:rFonts w:ascii="Calibri" w:eastAsia="MS Mincho" w:hAnsi="Calibri" w:cs="Calibri"/>
                <w:sz w:val="20"/>
                <w:szCs w:val="20"/>
                <w:lang w:eastAsia="ja-JP"/>
              </w:rPr>
              <w:t>Ms. Hilda Ali Al-</w:t>
            </w:r>
            <w:proofErr w:type="spellStart"/>
            <w:r w:rsidR="00563465" w:rsidRPr="00563465">
              <w:rPr>
                <w:rFonts w:ascii="Calibri" w:eastAsia="MS Mincho" w:hAnsi="Calibri" w:cs="Calibri"/>
                <w:sz w:val="20"/>
                <w:szCs w:val="20"/>
                <w:lang w:eastAsia="ja-JP"/>
              </w:rPr>
              <w:t>Hinai</w:t>
            </w:r>
            <w:proofErr w:type="spellEnd"/>
            <w:r w:rsidR="00563465" w:rsidRPr="00563465">
              <w:rPr>
                <w:rFonts w:ascii="Calibri" w:eastAsia="MS Mincho" w:hAnsi="Calibri" w:cs="Calibri"/>
                <w:sz w:val="20"/>
                <w:szCs w:val="20"/>
                <w:lang w:eastAsia="ja-JP"/>
              </w:rPr>
              <w:t>,</w:t>
            </w:r>
            <w:r w:rsidR="00563465">
              <w:rPr>
                <w:rFonts w:ascii="Calibri" w:eastAsia="MS Mincho" w:hAnsi="Calibri" w:cs="Calibri"/>
                <w:sz w:val="20"/>
                <w:szCs w:val="20"/>
                <w:lang w:eastAsia="ja-JP"/>
              </w:rPr>
              <w:t xml:space="preserve"> </w:t>
            </w:r>
            <w:r w:rsidR="00563465" w:rsidRPr="00563465">
              <w:rPr>
                <w:rFonts w:ascii="Calibri" w:eastAsia="MS Mincho" w:hAnsi="Calibri" w:cs="Calibri"/>
                <w:sz w:val="20"/>
                <w:szCs w:val="20"/>
                <w:lang w:eastAsia="ja-JP"/>
              </w:rPr>
              <w:t>Secretary General</w:t>
            </w:r>
            <w:r w:rsidR="00563465">
              <w:rPr>
                <w:rFonts w:ascii="Calibri" w:eastAsia="MS Mincho" w:hAnsi="Calibri" w:cs="Calibri"/>
                <w:sz w:val="20"/>
                <w:szCs w:val="20"/>
                <w:lang w:eastAsia="ja-JP"/>
              </w:rPr>
              <w:t xml:space="preserve">, </w:t>
            </w:r>
            <w:r w:rsidR="00563465" w:rsidRPr="00563465">
              <w:rPr>
                <w:rFonts w:ascii="Calibri" w:eastAsia="MS Mincho" w:hAnsi="Calibri" w:cs="Calibri"/>
                <w:sz w:val="20"/>
                <w:szCs w:val="20"/>
                <w:lang w:eastAsia="ja-JP"/>
              </w:rPr>
              <w:t xml:space="preserve">Arab-Swiss Chamber of </w:t>
            </w:r>
            <w:proofErr w:type="gramStart"/>
            <w:r w:rsidR="00563465" w:rsidRPr="00563465">
              <w:rPr>
                <w:rFonts w:ascii="Calibri" w:eastAsia="MS Mincho" w:hAnsi="Calibri" w:cs="Calibri"/>
                <w:sz w:val="20"/>
                <w:szCs w:val="20"/>
                <w:lang w:eastAsia="ja-JP"/>
              </w:rPr>
              <w:t>Commerce</w:t>
            </w:r>
            <w:proofErr w:type="gramEnd"/>
            <w:r w:rsidR="00563465" w:rsidRPr="00563465">
              <w:rPr>
                <w:rFonts w:ascii="Calibri" w:eastAsia="MS Mincho" w:hAnsi="Calibri" w:cs="Calibri"/>
                <w:sz w:val="20"/>
                <w:szCs w:val="20"/>
                <w:lang w:eastAsia="ja-JP"/>
              </w:rPr>
              <w:t xml:space="preserve"> and Industry</w:t>
            </w:r>
            <w:r w:rsidR="00563465">
              <w:rPr>
                <w:rFonts w:ascii="Calibri" w:eastAsia="MS Mincho" w:hAnsi="Calibri" w:cs="Calibri"/>
                <w:sz w:val="20"/>
                <w:szCs w:val="20"/>
                <w:lang w:eastAsia="ja-JP"/>
              </w:rPr>
              <w:t xml:space="preserve"> (TBC)</w:t>
            </w:r>
          </w:p>
          <w:p w14:paraId="51289743" w14:textId="098F9944" w:rsidR="007134CE" w:rsidRPr="007134CE" w:rsidRDefault="00563465" w:rsidP="00563465">
            <w:pPr>
              <w:spacing w:after="120"/>
              <w:rPr>
                <w:rFonts w:ascii="Calibri" w:eastAsia="MS Mincho" w:hAnsi="Calibri" w:cs="Calibri"/>
                <w:b/>
                <w:iCs/>
                <w:sz w:val="20"/>
                <w:szCs w:val="20"/>
                <w:lang w:eastAsia="ja-JP"/>
              </w:rPr>
            </w:pPr>
            <w:r>
              <w:rPr>
                <w:rFonts w:ascii="Calibri" w:eastAsia="MS Mincho" w:hAnsi="Calibri" w:cs="Calibri"/>
                <w:b/>
                <w:bCs/>
                <w:sz w:val="20"/>
                <w:szCs w:val="20"/>
                <w:lang w:eastAsia="ja-JP"/>
              </w:rPr>
              <w:t xml:space="preserve">- </w:t>
            </w:r>
          </w:p>
        </w:tc>
      </w:tr>
      <w:tr w:rsidR="007134CE" w:rsidRPr="007134CE" w14:paraId="2DC4FA36" w14:textId="77777777" w:rsidTr="00195B9B">
        <w:trPr>
          <w:trHeight w:val="20"/>
        </w:trPr>
        <w:tc>
          <w:tcPr>
            <w:tcW w:w="5000" w:type="pct"/>
            <w:tcBorders>
              <w:top w:val="single" w:sz="8" w:space="0" w:color="4F81BD"/>
              <w:left w:val="single" w:sz="8" w:space="0" w:color="4F81BD"/>
              <w:right w:val="single" w:sz="8" w:space="0" w:color="4F81BD"/>
            </w:tcBorders>
            <w:shd w:val="clear" w:color="auto" w:fill="auto"/>
            <w:vAlign w:val="center"/>
          </w:tcPr>
          <w:p w14:paraId="1ED6B406" w14:textId="14ACFCB9" w:rsidR="007134CE" w:rsidRPr="007134CE" w:rsidRDefault="007134CE" w:rsidP="007B7762">
            <w:pPr>
              <w:spacing w:after="120"/>
              <w:rPr>
                <w:rFonts w:ascii="Calibri" w:eastAsia="MS Mincho" w:hAnsi="Calibri" w:cs="Calibri"/>
                <w:b/>
                <w:bCs/>
                <w:sz w:val="20"/>
                <w:szCs w:val="20"/>
                <w:lang w:eastAsia="ja-JP"/>
              </w:rPr>
            </w:pPr>
            <w:r w:rsidRPr="007134CE">
              <w:rPr>
                <w:rFonts w:ascii="Calibri" w:eastAsia="MS Mincho" w:hAnsi="Calibri" w:cs="Calibri"/>
                <w:b/>
                <w:bCs/>
                <w:iCs/>
                <w:sz w:val="20"/>
                <w:szCs w:val="20"/>
                <w:lang w:eastAsia="ja-JP"/>
              </w:rPr>
              <w:t>Objectives:</w:t>
            </w:r>
            <w:r w:rsidRPr="007134CE">
              <w:rPr>
                <w:rFonts w:ascii="Calibri" w:eastAsia="MS Mincho" w:hAnsi="Calibri" w:cs="Calibri"/>
                <w:iCs/>
                <w:sz w:val="20"/>
                <w:szCs w:val="20"/>
                <w:lang w:eastAsia="ja-JP"/>
              </w:rPr>
              <w:t xml:space="preserve"> </w:t>
            </w:r>
            <w:r w:rsidR="007B7762">
              <w:rPr>
                <w:rFonts w:ascii="Calibri" w:eastAsia="MS Mincho" w:hAnsi="Calibri" w:cs="Calibri"/>
                <w:iCs/>
                <w:sz w:val="20"/>
                <w:szCs w:val="20"/>
                <w:lang w:eastAsia="ja-JP"/>
              </w:rPr>
              <w:t>E</w:t>
            </w:r>
            <w:r w:rsidR="00563465" w:rsidRPr="00563465">
              <w:rPr>
                <w:rFonts w:ascii="Calibri" w:eastAsia="MS Mincho" w:hAnsi="Calibri" w:cs="Calibri"/>
                <w:iCs/>
                <w:sz w:val="20"/>
                <w:szCs w:val="20"/>
                <w:lang w:eastAsia="ja-JP"/>
              </w:rPr>
              <w:t>ncourage dialogue between the public and private sectors and mobilise joint efforts towards successful WTO accession</w:t>
            </w:r>
            <w:r w:rsidR="00563465">
              <w:rPr>
                <w:rFonts w:ascii="Calibri" w:eastAsia="MS Mincho" w:hAnsi="Calibri" w:cs="Calibri"/>
                <w:iCs/>
                <w:sz w:val="20"/>
                <w:szCs w:val="20"/>
                <w:lang w:eastAsia="ja-JP"/>
              </w:rPr>
              <w:t>.</w:t>
            </w:r>
          </w:p>
        </w:tc>
      </w:tr>
      <w:bookmarkEnd w:id="5"/>
      <w:tr w:rsidR="00563465" w:rsidRPr="007134CE" w14:paraId="6C75B6CF"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95B3D7"/>
            <w:vAlign w:val="center"/>
          </w:tcPr>
          <w:p w14:paraId="78BFADA6" w14:textId="3BBAB1EE" w:rsidR="007134CE" w:rsidRPr="007134CE" w:rsidRDefault="007134CE" w:rsidP="007134CE">
            <w:pPr>
              <w:spacing w:after="200"/>
              <w:jc w:val="center"/>
              <w:rPr>
                <w:rFonts w:ascii="Calibri" w:eastAsia="MS Mincho" w:hAnsi="Calibri" w:cs="Calibri"/>
                <w:b/>
                <w:bCs/>
                <w:iCs/>
                <w:sz w:val="24"/>
                <w:szCs w:val="24"/>
                <w:lang w:eastAsia="ja-JP"/>
              </w:rPr>
            </w:pPr>
            <w:r w:rsidRPr="007134CE">
              <w:rPr>
                <w:rFonts w:ascii="Calibri" w:eastAsia="MS Mincho" w:hAnsi="Calibri" w:cs="Calibri"/>
                <w:sz w:val="20"/>
                <w:szCs w:val="20"/>
                <w:lang w:eastAsia="ja-JP"/>
              </w:rPr>
              <w:br w:type="page"/>
            </w:r>
            <w:r w:rsidRPr="007134CE">
              <w:rPr>
                <w:rFonts w:ascii="Calibri" w:eastAsia="MS Mincho" w:hAnsi="Calibri" w:cs="Calibri"/>
                <w:b/>
                <w:bCs/>
                <w:iCs/>
                <w:sz w:val="24"/>
                <w:szCs w:val="24"/>
                <w:lang w:eastAsia="ja-JP"/>
              </w:rPr>
              <w:t xml:space="preserve">DAY 3: Wednesday </w:t>
            </w:r>
            <w:r w:rsidR="007B7762">
              <w:rPr>
                <w:rFonts w:ascii="Calibri" w:eastAsia="MS Mincho" w:hAnsi="Calibri" w:cs="Calibri"/>
                <w:b/>
                <w:bCs/>
                <w:iCs/>
                <w:sz w:val="24"/>
                <w:szCs w:val="24"/>
                <w:lang w:eastAsia="ja-JP"/>
              </w:rPr>
              <w:t>9 February 2022</w:t>
            </w:r>
          </w:p>
        </w:tc>
      </w:tr>
      <w:tr w:rsidR="007134CE" w:rsidRPr="007134CE" w14:paraId="585229D3"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14:paraId="7AF306A0" w14:textId="77777777" w:rsidR="007134CE" w:rsidRPr="007134CE" w:rsidRDefault="007134CE" w:rsidP="007134CE">
            <w:pPr>
              <w:spacing w:after="120"/>
              <w:jc w:val="center"/>
              <w:rPr>
                <w:rFonts w:ascii="Calibri" w:eastAsia="MS Mincho" w:hAnsi="Calibri" w:cs="Calibri"/>
                <w:b/>
                <w:bCs/>
                <w:iCs/>
                <w:sz w:val="20"/>
                <w:szCs w:val="20"/>
                <w:lang w:eastAsia="ja-JP"/>
              </w:rPr>
            </w:pPr>
            <w:r w:rsidRPr="007134CE">
              <w:rPr>
                <w:rFonts w:ascii="Calibri" w:eastAsia="MS Mincho" w:hAnsi="Calibri" w:cs="Calibri"/>
                <w:b/>
                <w:bCs/>
                <w:iCs/>
                <w:sz w:val="20"/>
                <w:szCs w:val="20"/>
                <w:lang w:eastAsia="ja-JP"/>
              </w:rPr>
              <w:t xml:space="preserve">Session 5:  </w:t>
            </w:r>
            <w:r w:rsidRPr="007134CE">
              <w:rPr>
                <w:rFonts w:ascii="Calibri" w:eastAsia="MS Mincho" w:hAnsi="Calibri" w:cs="Calibri"/>
                <w:b/>
                <w:bCs/>
                <w:iCs/>
                <w:sz w:val="20"/>
                <w:szCs w:val="20"/>
                <w:lang w:eastAsia="ja-JP"/>
              </w:rPr>
              <w:br/>
            </w:r>
            <w:r w:rsidRPr="007134CE">
              <w:rPr>
                <w:rFonts w:ascii="Calibri" w:eastAsia="MS Mincho" w:hAnsi="Calibri" w:cs="Calibri"/>
                <w:b/>
                <w:iCs/>
                <w:sz w:val="20"/>
                <w:szCs w:val="20"/>
                <w:lang w:eastAsia="ja-JP"/>
              </w:rPr>
              <w:t>Trade Facilitation amid and beyond COVID-19</w:t>
            </w:r>
          </w:p>
        </w:tc>
      </w:tr>
      <w:tr w:rsidR="007134CE" w:rsidRPr="007134CE" w14:paraId="1CC25330"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31B6DAD" w14:textId="77777777" w:rsidR="007134CE" w:rsidRPr="007134CE" w:rsidRDefault="007134CE" w:rsidP="007134CE">
            <w:pPr>
              <w:spacing w:after="120"/>
              <w:rPr>
                <w:rFonts w:ascii="Calibri" w:eastAsia="MS Mincho" w:hAnsi="Calibri" w:cs="Calibri"/>
                <w:b/>
                <w:bCs/>
                <w:sz w:val="20"/>
                <w:szCs w:val="20"/>
                <w:lang w:eastAsia="ja-JP"/>
              </w:rPr>
            </w:pPr>
            <w:r w:rsidRPr="007134CE">
              <w:rPr>
                <w:rFonts w:ascii="Calibri" w:eastAsia="MS Mincho" w:hAnsi="Calibri" w:cs="Calibri"/>
                <w:b/>
                <w:bCs/>
                <w:sz w:val="20"/>
                <w:szCs w:val="20"/>
                <w:lang w:eastAsia="ja-JP"/>
              </w:rPr>
              <w:t xml:space="preserve">Speakers: </w:t>
            </w:r>
          </w:p>
          <w:p w14:paraId="2E4B6083" w14:textId="55FC6E54" w:rsidR="00563465" w:rsidRPr="007134CE" w:rsidRDefault="00563465" w:rsidP="00B63904">
            <w:pPr>
              <w:spacing w:after="120"/>
              <w:jc w:val="left"/>
              <w:rPr>
                <w:rFonts w:ascii="Calibri" w:eastAsia="MS Mincho" w:hAnsi="Calibri" w:cs="Calibri"/>
                <w:b/>
                <w:bCs/>
                <w:iCs/>
                <w:sz w:val="20"/>
                <w:szCs w:val="20"/>
                <w:lang w:eastAsia="ja-JP"/>
              </w:rPr>
            </w:pPr>
            <w:r>
              <w:rPr>
                <w:rFonts w:ascii="Calibri" w:eastAsia="MS Mincho" w:hAnsi="Calibri" w:cs="Calibri"/>
                <w:b/>
                <w:bCs/>
                <w:iCs/>
                <w:sz w:val="20"/>
                <w:szCs w:val="20"/>
                <w:lang w:eastAsia="ja-JP"/>
              </w:rPr>
              <w:t xml:space="preserve">- </w:t>
            </w:r>
            <w:r w:rsidRPr="00563465">
              <w:rPr>
                <w:rFonts w:ascii="Calibri" w:eastAsia="MS Mincho" w:hAnsi="Calibri" w:cs="Calibri"/>
                <w:iCs/>
                <w:sz w:val="20"/>
                <w:szCs w:val="20"/>
                <w:lang w:eastAsia="ja-JP"/>
              </w:rPr>
              <w:t>WTO</w:t>
            </w:r>
            <w:r w:rsidR="00B63904">
              <w:rPr>
                <w:rFonts w:ascii="Calibri" w:eastAsia="MS Mincho" w:hAnsi="Calibri" w:cs="Calibri"/>
                <w:iCs/>
                <w:sz w:val="20"/>
                <w:szCs w:val="20"/>
                <w:lang w:eastAsia="ja-JP"/>
              </w:rPr>
              <w:t xml:space="preserve"> ,</w:t>
            </w:r>
            <w:r w:rsidRPr="00563465">
              <w:rPr>
                <w:rFonts w:ascii="Calibri" w:eastAsia="MS Mincho" w:hAnsi="Calibri" w:cs="Calibri"/>
                <w:iCs/>
                <w:sz w:val="20"/>
                <w:szCs w:val="20"/>
                <w:lang w:eastAsia="ja-JP"/>
              </w:rPr>
              <w:t xml:space="preserve"> AMF/ISDB</w:t>
            </w:r>
          </w:p>
        </w:tc>
      </w:tr>
      <w:tr w:rsidR="007134CE" w:rsidRPr="007134CE" w14:paraId="62BF0C44" w14:textId="77777777" w:rsidTr="00195B9B">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5FE2ADB" w14:textId="7FFB3017" w:rsidR="007134CE" w:rsidRPr="007134CE" w:rsidRDefault="007134CE" w:rsidP="007B7762">
            <w:pPr>
              <w:spacing w:after="120"/>
              <w:rPr>
                <w:rFonts w:ascii="Calibri" w:eastAsia="MS Mincho" w:hAnsi="Calibri" w:cs="Calibri"/>
                <w:b/>
                <w:bCs/>
                <w:iCs/>
                <w:sz w:val="20"/>
                <w:szCs w:val="20"/>
                <w:lang w:eastAsia="ja-JP"/>
              </w:rPr>
            </w:pPr>
            <w:r w:rsidRPr="007134CE">
              <w:rPr>
                <w:rFonts w:ascii="Calibri" w:eastAsia="MS Mincho" w:hAnsi="Calibri" w:cs="Calibri"/>
                <w:b/>
                <w:bCs/>
                <w:iCs/>
                <w:sz w:val="20"/>
                <w:szCs w:val="20"/>
                <w:lang w:eastAsia="ja-JP"/>
              </w:rPr>
              <w:t xml:space="preserve">Objectives: </w:t>
            </w:r>
            <w:r w:rsidR="007B7762" w:rsidRPr="007B7762">
              <w:rPr>
                <w:rFonts w:ascii="Calibri" w:eastAsia="MS Mincho" w:hAnsi="Calibri" w:cs="Calibri"/>
                <w:iCs/>
                <w:sz w:val="20"/>
                <w:szCs w:val="20"/>
                <w:lang w:eastAsia="ja-JP"/>
              </w:rPr>
              <w:t>E</w:t>
            </w:r>
            <w:r w:rsidRPr="007B7762">
              <w:rPr>
                <w:rFonts w:ascii="Calibri" w:eastAsia="MS Mincho" w:hAnsi="Calibri" w:cs="Calibri"/>
                <w:iCs/>
                <w:sz w:val="20"/>
                <w:szCs w:val="20"/>
                <w:lang w:eastAsia="ja-JP"/>
              </w:rPr>
              <w:t>xpl</w:t>
            </w:r>
            <w:r w:rsidRPr="007134CE">
              <w:rPr>
                <w:rFonts w:ascii="Calibri" w:eastAsia="MS Mincho" w:hAnsi="Calibri" w:cs="Calibri"/>
                <w:iCs/>
                <w:sz w:val="20"/>
                <w:szCs w:val="20"/>
                <w:lang w:eastAsia="ja-JP"/>
              </w:rPr>
              <w:t>ain the WTO Trade Facilitation Agreement and discuss how trade facilitation measures can be utilised to reduce trade costs, increase exports, and support post-COVID-19 economic recovery in the region</w:t>
            </w:r>
            <w:r w:rsidR="007B7762">
              <w:rPr>
                <w:rFonts w:ascii="Calibri" w:eastAsia="MS Mincho" w:hAnsi="Calibri" w:cs="Calibri"/>
                <w:iCs/>
                <w:sz w:val="20"/>
                <w:szCs w:val="20"/>
                <w:lang w:eastAsia="ja-JP"/>
              </w:rPr>
              <w:t>.</w:t>
            </w:r>
          </w:p>
        </w:tc>
      </w:tr>
      <w:tr w:rsidR="007134CE" w:rsidRPr="007134CE" w14:paraId="696DAAE9" w14:textId="77777777" w:rsidTr="00195B9B">
        <w:trPr>
          <w:trHeight w:val="20"/>
        </w:trPr>
        <w:tc>
          <w:tcPr>
            <w:tcW w:w="5000" w:type="pct"/>
            <w:tcBorders>
              <w:top w:val="single" w:sz="8" w:space="0" w:color="4F81BD"/>
              <w:left w:val="single" w:sz="8" w:space="0" w:color="4F81BD"/>
              <w:right w:val="single" w:sz="8" w:space="0" w:color="4F81BD"/>
            </w:tcBorders>
            <w:shd w:val="clear" w:color="auto" w:fill="auto"/>
            <w:vAlign w:val="center"/>
          </w:tcPr>
          <w:p w14:paraId="56467E71" w14:textId="77777777" w:rsidR="007134CE" w:rsidRPr="007134CE" w:rsidRDefault="007134CE" w:rsidP="007134CE">
            <w:pPr>
              <w:spacing w:after="120"/>
              <w:jc w:val="center"/>
              <w:rPr>
                <w:rFonts w:ascii="Calibri" w:eastAsia="MS Mincho" w:hAnsi="Calibri" w:cs="Calibri"/>
                <w:b/>
                <w:bCs/>
                <w:i/>
                <w:sz w:val="20"/>
                <w:szCs w:val="20"/>
                <w:lang w:eastAsia="ja-JP"/>
              </w:rPr>
            </w:pPr>
            <w:r w:rsidRPr="007134CE">
              <w:rPr>
                <w:rFonts w:ascii="Calibri" w:eastAsia="MS Mincho" w:hAnsi="Calibri" w:cs="Calibri"/>
                <w:b/>
                <w:bCs/>
                <w:i/>
                <w:sz w:val="20"/>
                <w:szCs w:val="20"/>
                <w:lang w:eastAsia="ja-JP"/>
              </w:rPr>
              <w:t>Short break</w:t>
            </w:r>
          </w:p>
        </w:tc>
      </w:tr>
      <w:tr w:rsidR="007134CE" w:rsidRPr="007134CE" w14:paraId="2A52C500" w14:textId="77777777" w:rsidTr="00195B9B">
        <w:trPr>
          <w:trHeight w:val="699"/>
        </w:trPr>
        <w:tc>
          <w:tcPr>
            <w:tcW w:w="5000" w:type="pct"/>
            <w:tcBorders>
              <w:top w:val="single" w:sz="8" w:space="0" w:color="4F81BD"/>
              <w:left w:val="single" w:sz="8" w:space="0" w:color="4F81BD"/>
              <w:right w:val="single" w:sz="8" w:space="0" w:color="4F81BD"/>
            </w:tcBorders>
            <w:shd w:val="clear" w:color="auto" w:fill="DBE5F1"/>
            <w:vAlign w:val="center"/>
          </w:tcPr>
          <w:p w14:paraId="2F42A222" w14:textId="0B0827FB" w:rsidR="007134CE" w:rsidRPr="007134CE" w:rsidRDefault="007134CE" w:rsidP="007134CE">
            <w:pPr>
              <w:spacing w:after="120"/>
              <w:jc w:val="center"/>
              <w:rPr>
                <w:rFonts w:ascii="Calibri" w:eastAsia="MS Mincho" w:hAnsi="Calibri" w:cs="Calibri"/>
                <w:b/>
                <w:i/>
                <w:sz w:val="20"/>
                <w:szCs w:val="20"/>
                <w:lang w:eastAsia="ja-JP"/>
              </w:rPr>
            </w:pPr>
            <w:r w:rsidRPr="007134CE">
              <w:rPr>
                <w:rFonts w:ascii="Calibri" w:eastAsia="MS Mincho" w:hAnsi="Calibri" w:cs="Calibri"/>
                <w:b/>
                <w:iCs/>
                <w:sz w:val="20"/>
                <w:szCs w:val="20"/>
                <w:lang w:eastAsia="ja-JP"/>
              </w:rPr>
              <w:t xml:space="preserve">Session 6: </w:t>
            </w:r>
            <w:r w:rsidRPr="007134CE">
              <w:rPr>
                <w:rFonts w:ascii="Calibri" w:eastAsia="MS Mincho" w:hAnsi="Calibri" w:cs="Calibri"/>
                <w:b/>
                <w:iCs/>
                <w:sz w:val="20"/>
                <w:szCs w:val="20"/>
                <w:lang w:eastAsia="ja-JP"/>
              </w:rPr>
              <w:br/>
              <w:t xml:space="preserve"> </w:t>
            </w:r>
            <w:r w:rsidRPr="007134CE">
              <w:rPr>
                <w:rFonts w:ascii="Calibri" w:eastAsia="MS Mincho" w:hAnsi="Calibri" w:cs="Calibri"/>
                <w:b/>
                <w:bCs/>
                <w:iCs/>
                <w:sz w:val="20"/>
                <w:szCs w:val="20"/>
                <w:lang w:eastAsia="ja-JP"/>
              </w:rPr>
              <w:t>Trade for Peace through WTO Accession</w:t>
            </w:r>
          </w:p>
        </w:tc>
      </w:tr>
      <w:tr w:rsidR="007134CE" w:rsidRPr="007134CE" w14:paraId="35166D18" w14:textId="77777777" w:rsidTr="00195B9B">
        <w:trPr>
          <w:trHeight w:val="20"/>
        </w:trPr>
        <w:tc>
          <w:tcPr>
            <w:tcW w:w="5000" w:type="pct"/>
            <w:tcBorders>
              <w:top w:val="single" w:sz="8" w:space="0" w:color="4F81BD"/>
              <w:left w:val="single" w:sz="8" w:space="0" w:color="4F81BD"/>
              <w:right w:val="single" w:sz="8" w:space="0" w:color="4F81BD"/>
            </w:tcBorders>
            <w:shd w:val="clear" w:color="auto" w:fill="auto"/>
            <w:vAlign w:val="center"/>
          </w:tcPr>
          <w:p w14:paraId="24BE56D8" w14:textId="45E227D2" w:rsidR="007134CE" w:rsidRPr="00B63904" w:rsidRDefault="007134CE" w:rsidP="00B63904">
            <w:pPr>
              <w:spacing w:after="120"/>
              <w:jc w:val="left"/>
              <w:rPr>
                <w:rFonts w:ascii="Calibri" w:eastAsia="MS Mincho" w:hAnsi="Calibri" w:cs="Calibri"/>
                <w:b/>
                <w:bCs/>
                <w:sz w:val="20"/>
                <w:szCs w:val="20"/>
                <w:lang w:eastAsia="ja-JP"/>
              </w:rPr>
            </w:pPr>
            <w:r w:rsidRPr="007134CE">
              <w:rPr>
                <w:rFonts w:ascii="Calibri" w:eastAsia="MS Mincho" w:hAnsi="Calibri" w:cs="Calibri"/>
                <w:b/>
                <w:bCs/>
                <w:sz w:val="20"/>
                <w:szCs w:val="20"/>
                <w:lang w:eastAsia="ja-JP"/>
              </w:rPr>
              <w:t xml:space="preserve">Speakers: </w:t>
            </w:r>
          </w:p>
        </w:tc>
      </w:tr>
      <w:tr w:rsidR="007134CE" w:rsidRPr="007134CE" w14:paraId="6DEBE359" w14:textId="77777777" w:rsidTr="00195B9B">
        <w:trPr>
          <w:trHeight w:val="20"/>
        </w:trPr>
        <w:tc>
          <w:tcPr>
            <w:tcW w:w="5000" w:type="pct"/>
            <w:tcBorders>
              <w:top w:val="single" w:sz="8" w:space="0" w:color="4F81BD"/>
              <w:left w:val="single" w:sz="8" w:space="0" w:color="4F81BD"/>
              <w:right w:val="single" w:sz="8" w:space="0" w:color="4F81BD"/>
            </w:tcBorders>
            <w:shd w:val="clear" w:color="auto" w:fill="auto"/>
            <w:vAlign w:val="center"/>
          </w:tcPr>
          <w:p w14:paraId="3863F647" w14:textId="577381E9" w:rsidR="007134CE" w:rsidRPr="007134CE" w:rsidRDefault="007134CE" w:rsidP="0052387E">
            <w:pPr>
              <w:spacing w:after="120"/>
              <w:rPr>
                <w:rFonts w:ascii="Calibri" w:eastAsia="MS Mincho" w:hAnsi="Calibri" w:cs="Calibri"/>
                <w:bCs/>
                <w:iCs/>
                <w:sz w:val="20"/>
                <w:szCs w:val="20"/>
                <w:lang w:eastAsia="ja-JP"/>
              </w:rPr>
            </w:pPr>
            <w:r w:rsidRPr="007134CE">
              <w:rPr>
                <w:rFonts w:ascii="Calibri" w:eastAsia="MS Mincho" w:hAnsi="Calibri" w:cs="Calibri"/>
                <w:b/>
                <w:iCs/>
                <w:sz w:val="20"/>
                <w:szCs w:val="20"/>
                <w:lang w:eastAsia="ja-JP"/>
              </w:rPr>
              <w:t>Objectives:</w:t>
            </w:r>
            <w:r w:rsidRPr="007134CE">
              <w:rPr>
                <w:rFonts w:ascii="Calibri" w:eastAsia="MS Mincho" w:hAnsi="Calibri" w:cs="Calibri"/>
                <w:bCs/>
                <w:iCs/>
                <w:sz w:val="20"/>
                <w:szCs w:val="20"/>
                <w:lang w:eastAsia="ja-JP"/>
              </w:rPr>
              <w:t xml:space="preserve"> </w:t>
            </w:r>
            <w:r w:rsidR="007B7762">
              <w:rPr>
                <w:rFonts w:ascii="Calibri" w:eastAsia="MS Mincho" w:hAnsi="Calibri" w:cs="Calibri"/>
                <w:bCs/>
                <w:iCs/>
                <w:sz w:val="20"/>
                <w:szCs w:val="20"/>
                <w:lang w:eastAsia="ja-JP"/>
              </w:rPr>
              <w:t>Since m</w:t>
            </w:r>
            <w:r w:rsidRPr="007134CE">
              <w:rPr>
                <w:rFonts w:ascii="Calibri" w:eastAsia="MS Mincho" w:hAnsi="Calibri" w:cs="Calibri"/>
                <w:bCs/>
                <w:iCs/>
                <w:sz w:val="20"/>
                <w:szCs w:val="20"/>
                <w:lang w:eastAsia="ja-JP"/>
              </w:rPr>
              <w:t xml:space="preserve">any of the countries in the region are Fragile and Conflict Affected (FCA), this session will </w:t>
            </w:r>
            <w:r w:rsidRPr="007134CE">
              <w:rPr>
                <w:rFonts w:ascii="Calibri" w:eastAsia="MS Mincho" w:hAnsi="Calibri" w:cs="Calibri"/>
                <w:iCs/>
                <w:sz w:val="20"/>
                <w:szCs w:val="20"/>
                <w:lang w:eastAsia="ja-JP"/>
              </w:rPr>
              <w:t>highlight the relevance and applicability of harnessing trade as a vehicle for peace through WTO accession in the Arab Region.</w:t>
            </w:r>
          </w:p>
        </w:tc>
      </w:tr>
      <w:tr w:rsidR="00563465" w:rsidRPr="00563465" w14:paraId="4ADDB167" w14:textId="77777777" w:rsidTr="00563465">
        <w:trPr>
          <w:trHeight w:val="20"/>
        </w:trPr>
        <w:tc>
          <w:tcPr>
            <w:tcW w:w="5000" w:type="pct"/>
            <w:tcBorders>
              <w:top w:val="single" w:sz="8" w:space="0" w:color="4F81BD"/>
              <w:left w:val="single" w:sz="8" w:space="0" w:color="4F81BD"/>
              <w:right w:val="single" w:sz="8" w:space="0" w:color="4F81BD"/>
            </w:tcBorders>
            <w:shd w:val="clear" w:color="auto" w:fill="DBE5F1"/>
          </w:tcPr>
          <w:p w14:paraId="7E16C703" w14:textId="5DFC5FCA" w:rsidR="00563465" w:rsidRPr="00563465" w:rsidRDefault="00563465" w:rsidP="00563465">
            <w:pPr>
              <w:spacing w:after="120"/>
              <w:jc w:val="center"/>
              <w:rPr>
                <w:rFonts w:ascii="Calibri" w:eastAsia="MS Mincho" w:hAnsi="Calibri" w:cs="Calibri"/>
                <w:b/>
                <w:bCs/>
                <w:sz w:val="20"/>
                <w:szCs w:val="20"/>
                <w:lang w:eastAsia="ja-JP"/>
              </w:rPr>
            </w:pPr>
            <w:r w:rsidRPr="00563465">
              <w:rPr>
                <w:rFonts w:ascii="Calibri" w:eastAsia="MS Mincho" w:hAnsi="Calibri" w:cs="Calibri"/>
                <w:b/>
                <w:bCs/>
                <w:sz w:val="20"/>
                <w:szCs w:val="20"/>
                <w:lang w:eastAsia="ja-JP"/>
              </w:rPr>
              <w:t>Closing Session</w:t>
            </w:r>
          </w:p>
        </w:tc>
      </w:tr>
      <w:tr w:rsidR="00563465" w:rsidRPr="00563465" w14:paraId="2D150F70" w14:textId="77777777" w:rsidTr="00563465">
        <w:trPr>
          <w:trHeight w:val="20"/>
        </w:trPr>
        <w:tc>
          <w:tcPr>
            <w:tcW w:w="500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3BB4F62B" w14:textId="77777777" w:rsidR="00563465" w:rsidRDefault="00563465" w:rsidP="00563465">
            <w:pPr>
              <w:spacing w:after="120"/>
              <w:jc w:val="left"/>
              <w:rPr>
                <w:rFonts w:ascii="Calibri" w:eastAsia="MS Mincho" w:hAnsi="Calibri" w:cs="Calibri"/>
                <w:b/>
                <w:bCs/>
                <w:sz w:val="20"/>
                <w:szCs w:val="20"/>
                <w:lang w:eastAsia="ja-JP"/>
              </w:rPr>
            </w:pPr>
            <w:r w:rsidRPr="00563465">
              <w:rPr>
                <w:rFonts w:ascii="Calibri" w:eastAsia="MS Mincho" w:hAnsi="Calibri" w:cs="Calibri"/>
                <w:b/>
                <w:bCs/>
                <w:sz w:val="20"/>
                <w:szCs w:val="20"/>
                <w:lang w:eastAsia="ja-JP"/>
              </w:rPr>
              <w:t>Speakers:</w:t>
            </w:r>
          </w:p>
          <w:p w14:paraId="13F3485A" w14:textId="77777777" w:rsidR="00563465" w:rsidRPr="00563465" w:rsidRDefault="00563465" w:rsidP="00563465">
            <w:pPr>
              <w:spacing w:after="120"/>
              <w:jc w:val="left"/>
              <w:rPr>
                <w:rFonts w:ascii="Calibri" w:eastAsia="MS Mincho" w:hAnsi="Calibri" w:cs="Calibri"/>
                <w:sz w:val="20"/>
                <w:szCs w:val="20"/>
                <w:lang w:eastAsia="ja-JP"/>
              </w:rPr>
            </w:pPr>
            <w:r w:rsidRPr="00563465">
              <w:rPr>
                <w:rFonts w:ascii="Calibri" w:eastAsia="MS Mincho" w:hAnsi="Calibri" w:cs="Calibri"/>
                <w:sz w:val="20"/>
                <w:szCs w:val="20"/>
                <w:lang w:eastAsia="ja-JP"/>
              </w:rPr>
              <w:t>- WTO (TBC)</w:t>
            </w:r>
          </w:p>
          <w:p w14:paraId="1B87EFE8" w14:textId="591F06AE" w:rsidR="00563465" w:rsidRPr="00563465" w:rsidRDefault="00563465" w:rsidP="00563465">
            <w:pPr>
              <w:spacing w:after="120"/>
              <w:jc w:val="left"/>
              <w:rPr>
                <w:rFonts w:ascii="Calibri" w:eastAsia="MS Mincho" w:hAnsi="Calibri" w:cs="Calibri"/>
                <w:sz w:val="20"/>
                <w:szCs w:val="20"/>
                <w:lang w:eastAsia="ja-JP"/>
              </w:rPr>
            </w:pPr>
            <w:r w:rsidRPr="00563465">
              <w:rPr>
                <w:rFonts w:ascii="Calibri" w:eastAsia="MS Mincho" w:hAnsi="Calibri" w:cs="Calibri"/>
                <w:sz w:val="20"/>
                <w:szCs w:val="20"/>
                <w:lang w:eastAsia="ja-JP"/>
              </w:rPr>
              <w:t>- AMF (TBC)</w:t>
            </w:r>
          </w:p>
          <w:p w14:paraId="35EBAB3D" w14:textId="2F16CA64" w:rsidR="00563465" w:rsidRPr="00563465" w:rsidRDefault="00563465" w:rsidP="00563465">
            <w:pPr>
              <w:spacing w:after="120"/>
              <w:jc w:val="left"/>
              <w:rPr>
                <w:rFonts w:ascii="Calibri" w:eastAsia="MS Mincho" w:hAnsi="Calibri" w:cs="Calibri"/>
                <w:b/>
                <w:bCs/>
                <w:sz w:val="20"/>
                <w:szCs w:val="20"/>
                <w:lang w:eastAsia="ja-JP"/>
              </w:rPr>
            </w:pPr>
            <w:r w:rsidRPr="00563465">
              <w:rPr>
                <w:rFonts w:ascii="Calibri" w:eastAsia="MS Mincho" w:hAnsi="Calibri" w:cs="Calibri"/>
                <w:sz w:val="20"/>
                <w:szCs w:val="20"/>
                <w:lang w:eastAsia="ja-JP"/>
              </w:rPr>
              <w:t>- IsDB (TBC)</w:t>
            </w:r>
          </w:p>
        </w:tc>
      </w:tr>
    </w:tbl>
    <w:p w14:paraId="12DE9FDB" w14:textId="01A75E11" w:rsidR="00425251" w:rsidRDefault="00425251" w:rsidP="00B63904"/>
    <w:sectPr w:rsidR="00425251" w:rsidSect="002A15FB">
      <w:headerReference w:type="default" r:id="rId7"/>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EA958" w14:textId="77777777" w:rsidR="00A76F07" w:rsidRDefault="00A76F07" w:rsidP="00ED54E0">
      <w:r>
        <w:separator/>
      </w:r>
    </w:p>
  </w:endnote>
  <w:endnote w:type="continuationSeparator" w:id="0">
    <w:p w14:paraId="6F7F4D80" w14:textId="77777777" w:rsidR="00A76F07" w:rsidRDefault="00A76F07"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75333" w14:textId="77777777" w:rsidR="00A76F07" w:rsidRDefault="00A76F07" w:rsidP="00ED54E0">
      <w:r>
        <w:separator/>
      </w:r>
    </w:p>
  </w:footnote>
  <w:footnote w:type="continuationSeparator" w:id="0">
    <w:p w14:paraId="3E797F9E" w14:textId="77777777" w:rsidR="00A76F07" w:rsidRDefault="00A76F07"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A189D" w14:textId="5B90348B" w:rsidR="00B63904" w:rsidRDefault="00B63904" w:rsidP="00B63904">
    <w:pPr>
      <w:pStyle w:val="Header"/>
    </w:pPr>
    <w:r>
      <w:rPr>
        <w:noProof/>
      </w:rPr>
      <w:drawing>
        <wp:inline distT="0" distB="0" distL="0" distR="0" wp14:anchorId="6F05A89D" wp14:editId="47229049">
          <wp:extent cx="810263" cy="986667"/>
          <wp:effectExtent l="0" t="0" r="8890" b="444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810263" cy="986667"/>
                  </a:xfrm>
                  <a:prstGeom prst="rect">
                    <a:avLst/>
                  </a:prstGeom>
                </pic:spPr>
              </pic:pic>
            </a:graphicData>
          </a:graphic>
        </wp:inline>
      </w:drawing>
    </w:r>
    <w:r>
      <w:tab/>
      <w:t xml:space="preserve">                                                                                            </w:t>
    </w:r>
    <w:r>
      <w:rPr>
        <w:noProof/>
      </w:rPr>
      <w:drawing>
        <wp:inline distT="0" distB="0" distL="0" distR="0" wp14:anchorId="74095A69" wp14:editId="78583C8B">
          <wp:extent cx="1193550" cy="9455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788" cy="965508"/>
                  </a:xfrm>
                  <a:prstGeom prst="rect">
                    <a:avLst/>
                  </a:prstGeom>
                  <a:noFill/>
                </pic:spPr>
              </pic:pic>
            </a:graphicData>
          </a:graphic>
        </wp:inline>
      </w:drawing>
    </w:r>
  </w:p>
  <w:p w14:paraId="5752339D" w14:textId="77777777" w:rsidR="00B63904" w:rsidRDefault="00B63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52177C"/>
    <w:numStyleLink w:val="LegalHeadings"/>
  </w:abstractNum>
  <w:abstractNum w:abstractNumId="13"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95"/>
    <w:rsid w:val="000106E0"/>
    <w:rsid w:val="000111BB"/>
    <w:rsid w:val="00022C0F"/>
    <w:rsid w:val="000251D5"/>
    <w:rsid w:val="000272F6"/>
    <w:rsid w:val="00037AC4"/>
    <w:rsid w:val="000423BF"/>
    <w:rsid w:val="000A4945"/>
    <w:rsid w:val="000B31E1"/>
    <w:rsid w:val="0011356B"/>
    <w:rsid w:val="0013337F"/>
    <w:rsid w:val="001469E5"/>
    <w:rsid w:val="00182B84"/>
    <w:rsid w:val="00183080"/>
    <w:rsid w:val="001946F2"/>
    <w:rsid w:val="00195B9B"/>
    <w:rsid w:val="00195F91"/>
    <w:rsid w:val="001D0F5C"/>
    <w:rsid w:val="001E291F"/>
    <w:rsid w:val="00216486"/>
    <w:rsid w:val="00233408"/>
    <w:rsid w:val="00237417"/>
    <w:rsid w:val="0027067B"/>
    <w:rsid w:val="002A15FB"/>
    <w:rsid w:val="002A6940"/>
    <w:rsid w:val="002E249B"/>
    <w:rsid w:val="00304385"/>
    <w:rsid w:val="00311BE2"/>
    <w:rsid w:val="00314DE6"/>
    <w:rsid w:val="00320249"/>
    <w:rsid w:val="003572B4"/>
    <w:rsid w:val="003616BF"/>
    <w:rsid w:val="00371F2B"/>
    <w:rsid w:val="00383F10"/>
    <w:rsid w:val="003B3835"/>
    <w:rsid w:val="003F0B87"/>
    <w:rsid w:val="00425251"/>
    <w:rsid w:val="004551EC"/>
    <w:rsid w:val="00467032"/>
    <w:rsid w:val="0046754A"/>
    <w:rsid w:val="004A31FF"/>
    <w:rsid w:val="004A3505"/>
    <w:rsid w:val="004F203A"/>
    <w:rsid w:val="00512FF5"/>
    <w:rsid w:val="0052387E"/>
    <w:rsid w:val="005336B8"/>
    <w:rsid w:val="005614C4"/>
    <w:rsid w:val="00563465"/>
    <w:rsid w:val="00572513"/>
    <w:rsid w:val="005878E5"/>
    <w:rsid w:val="005B04B9"/>
    <w:rsid w:val="005B68C7"/>
    <w:rsid w:val="005B7054"/>
    <w:rsid w:val="005B7D6A"/>
    <w:rsid w:val="005D0152"/>
    <w:rsid w:val="005D5981"/>
    <w:rsid w:val="005F30CB"/>
    <w:rsid w:val="00612644"/>
    <w:rsid w:val="00624052"/>
    <w:rsid w:val="00674CCD"/>
    <w:rsid w:val="006A18DC"/>
    <w:rsid w:val="006D6742"/>
    <w:rsid w:val="006E3654"/>
    <w:rsid w:val="006F5826"/>
    <w:rsid w:val="00700181"/>
    <w:rsid w:val="007134CE"/>
    <w:rsid w:val="007141CF"/>
    <w:rsid w:val="00730E5A"/>
    <w:rsid w:val="00745146"/>
    <w:rsid w:val="0074635B"/>
    <w:rsid w:val="007577E3"/>
    <w:rsid w:val="00760DB3"/>
    <w:rsid w:val="00767204"/>
    <w:rsid w:val="007B24E7"/>
    <w:rsid w:val="007B7762"/>
    <w:rsid w:val="007C79F0"/>
    <w:rsid w:val="007E6507"/>
    <w:rsid w:val="007F2B8E"/>
    <w:rsid w:val="007F2DB0"/>
    <w:rsid w:val="00801CBB"/>
    <w:rsid w:val="00807247"/>
    <w:rsid w:val="00840C2B"/>
    <w:rsid w:val="00850889"/>
    <w:rsid w:val="008739FD"/>
    <w:rsid w:val="008A7BB6"/>
    <w:rsid w:val="008E372C"/>
    <w:rsid w:val="00920FD4"/>
    <w:rsid w:val="00947C09"/>
    <w:rsid w:val="00964802"/>
    <w:rsid w:val="009A3755"/>
    <w:rsid w:val="009A6F54"/>
    <w:rsid w:val="009A7E67"/>
    <w:rsid w:val="009B0823"/>
    <w:rsid w:val="00A14983"/>
    <w:rsid w:val="00A26C72"/>
    <w:rsid w:val="00A53DCE"/>
    <w:rsid w:val="00A6057A"/>
    <w:rsid w:val="00A74017"/>
    <w:rsid w:val="00A76F07"/>
    <w:rsid w:val="00A97A1E"/>
    <w:rsid w:val="00AA332C"/>
    <w:rsid w:val="00AC24C7"/>
    <w:rsid w:val="00AC27F8"/>
    <w:rsid w:val="00AD4C72"/>
    <w:rsid w:val="00AE20ED"/>
    <w:rsid w:val="00AE2AEE"/>
    <w:rsid w:val="00B1394B"/>
    <w:rsid w:val="00B230EC"/>
    <w:rsid w:val="00B26396"/>
    <w:rsid w:val="00B50DC4"/>
    <w:rsid w:val="00B56EDC"/>
    <w:rsid w:val="00B63904"/>
    <w:rsid w:val="00B67C16"/>
    <w:rsid w:val="00BB1F84"/>
    <w:rsid w:val="00BE50FA"/>
    <w:rsid w:val="00BE5468"/>
    <w:rsid w:val="00BE6526"/>
    <w:rsid w:val="00BF0330"/>
    <w:rsid w:val="00C11EAC"/>
    <w:rsid w:val="00C305D7"/>
    <w:rsid w:val="00C30F2A"/>
    <w:rsid w:val="00C43456"/>
    <w:rsid w:val="00C65C0C"/>
    <w:rsid w:val="00C808FC"/>
    <w:rsid w:val="00CC5DCA"/>
    <w:rsid w:val="00CD7D97"/>
    <w:rsid w:val="00CE3EE6"/>
    <w:rsid w:val="00CE4BA1"/>
    <w:rsid w:val="00D000C7"/>
    <w:rsid w:val="00D06BDB"/>
    <w:rsid w:val="00D11F49"/>
    <w:rsid w:val="00D52A9D"/>
    <w:rsid w:val="00D55AAD"/>
    <w:rsid w:val="00D747AE"/>
    <w:rsid w:val="00D9226C"/>
    <w:rsid w:val="00DA20BD"/>
    <w:rsid w:val="00DB7B68"/>
    <w:rsid w:val="00DE50DB"/>
    <w:rsid w:val="00DE516E"/>
    <w:rsid w:val="00DF6AE1"/>
    <w:rsid w:val="00E46FD5"/>
    <w:rsid w:val="00E544BB"/>
    <w:rsid w:val="00E56545"/>
    <w:rsid w:val="00E85004"/>
    <w:rsid w:val="00E8627C"/>
    <w:rsid w:val="00EA5D4F"/>
    <w:rsid w:val="00EB6C56"/>
    <w:rsid w:val="00EB6F21"/>
    <w:rsid w:val="00ED54E0"/>
    <w:rsid w:val="00F01C13"/>
    <w:rsid w:val="00F32397"/>
    <w:rsid w:val="00F40595"/>
    <w:rsid w:val="00F679DE"/>
    <w:rsid w:val="00F75795"/>
    <w:rsid w:val="00FA5EBC"/>
    <w:rsid w:val="00FD224A"/>
    <w:rsid w:val="00FD6CF3"/>
    <w:rsid w:val="00FD79BF"/>
    <w:rsid w:val="00FD7F17"/>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0037A"/>
  <w15:chartTrackingRefBased/>
  <w15:docId w15:val="{48483558-67A3-487A-A0B1-F8EBE9B8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Marchand, Alexandre Paul</dc:creator>
  <cp:keywords/>
  <dc:description/>
  <cp:lastModifiedBy>Brouillaud, Nadine</cp:lastModifiedBy>
  <cp:revision>2</cp:revision>
  <dcterms:created xsi:type="dcterms:W3CDTF">2022-01-06T14:23:00Z</dcterms:created>
  <dcterms:modified xsi:type="dcterms:W3CDTF">2022-01-06T14:23:00Z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96d3fa02-b0e8-4f04-b038-efc681ee960b</vt:lpwstr>
  </property>
</Properties>
</file>