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D569" w14:textId="2FF57BAE" w:rsidR="00850889" w:rsidRPr="00874DC5" w:rsidRDefault="003D394D" w:rsidP="003D394D">
      <w:pPr>
        <w:pStyle w:val="Title"/>
        <w:rPr>
          <w:lang w:val="fr-FR"/>
        </w:rPr>
      </w:pPr>
      <w:r w:rsidRPr="00874DC5">
        <w:rPr>
          <w:lang w:val="fr-FR"/>
        </w:rPr>
        <w:t xml:space="preserve">assistance </w:t>
      </w:r>
      <w:r w:rsidR="00874DC5">
        <w:rPr>
          <w:lang w:val="fr-FR"/>
        </w:rPr>
        <w:t xml:space="preserve">TEChnique pour les pays de l'union economique et monetaire ouest africaine (Uemoa) – octobre </w:t>
      </w:r>
      <w:r w:rsidRPr="00874DC5">
        <w:rPr>
          <w:lang w:val="fr-FR"/>
        </w:rPr>
        <w:t>2022</w:t>
      </w:r>
    </w:p>
    <w:p w14:paraId="1F69B93F" w14:textId="07B6CD34" w:rsidR="0016594F" w:rsidRPr="00874DC5" w:rsidRDefault="00874DC5" w:rsidP="0016594F">
      <w:pPr>
        <w:pStyle w:val="Title2"/>
        <w:rPr>
          <w:lang w:val="fr-FR"/>
        </w:rPr>
      </w:pPr>
      <w:r>
        <w:rPr>
          <w:lang w:val="fr-FR"/>
        </w:rPr>
        <w:t xml:space="preserve">l'Omc </w:t>
      </w:r>
      <w:r w:rsidR="004A065A">
        <w:rPr>
          <w:lang w:val="fr-FR"/>
        </w:rPr>
        <w:t>ET</w:t>
      </w:r>
      <w:r>
        <w:rPr>
          <w:lang w:val="fr-FR"/>
        </w:rPr>
        <w:t xml:space="preserve"> le commerce electronique</w:t>
      </w:r>
    </w:p>
    <w:p w14:paraId="369DC369" w14:textId="1CDAEFE5" w:rsidR="00A608BD" w:rsidRPr="00D62343" w:rsidRDefault="0016594F" w:rsidP="00D62343">
      <w:pPr>
        <w:pStyle w:val="Title3"/>
        <w:rPr>
          <w:lang w:val="fr-FR"/>
        </w:rPr>
      </w:pPr>
      <w:r w:rsidRPr="00874DC5">
        <w:rPr>
          <w:lang w:val="fr-FR"/>
        </w:rPr>
        <w:t>P</w:t>
      </w:r>
      <w:r w:rsidR="003D394D" w:rsidRPr="00874DC5">
        <w:rPr>
          <w:lang w:val="fr-FR"/>
        </w:rPr>
        <w:t>rogramme</w:t>
      </w:r>
    </w:p>
    <w:p w14:paraId="2DD3B7E9" w14:textId="64E307B9" w:rsidR="00924861" w:rsidRPr="00362282" w:rsidRDefault="00874DC5" w:rsidP="003D394D">
      <w:pPr>
        <w:rPr>
          <w:sz w:val="20"/>
          <w:szCs w:val="20"/>
          <w:u w:val="single"/>
          <w:lang w:val="fr-FR" w:eastAsia="en-GB"/>
        </w:rPr>
      </w:pPr>
      <w:r w:rsidRPr="00362282">
        <w:rPr>
          <w:sz w:val="20"/>
          <w:szCs w:val="20"/>
          <w:u w:val="single"/>
          <w:lang w:val="fr-FR" w:eastAsia="en-GB"/>
        </w:rPr>
        <w:t xml:space="preserve">Objectifs </w:t>
      </w:r>
      <w:r w:rsidR="00924861" w:rsidRPr="00362282">
        <w:rPr>
          <w:sz w:val="20"/>
          <w:szCs w:val="20"/>
          <w:u w:val="single"/>
          <w:lang w:val="fr-FR" w:eastAsia="en-GB"/>
        </w:rPr>
        <w:t xml:space="preserve">: </w:t>
      </w:r>
    </w:p>
    <w:p w14:paraId="0A9C76E5" w14:textId="2F89F361" w:rsidR="002B7E75" w:rsidRPr="00362282" w:rsidRDefault="002B7E75" w:rsidP="003D394D">
      <w:pPr>
        <w:rPr>
          <w:sz w:val="20"/>
          <w:szCs w:val="20"/>
          <w:u w:val="single"/>
          <w:lang w:val="fr-FR" w:eastAsia="en-GB"/>
        </w:rPr>
      </w:pPr>
    </w:p>
    <w:p w14:paraId="0EC0CDB8" w14:textId="414F0611" w:rsidR="00874DC5" w:rsidRPr="00362282" w:rsidRDefault="00C57D4A" w:rsidP="00863B26">
      <w:pPr>
        <w:pStyle w:val="ListParagraph"/>
        <w:numPr>
          <w:ilvl w:val="0"/>
          <w:numId w:val="19"/>
        </w:numPr>
        <w:rPr>
          <w:sz w:val="20"/>
          <w:szCs w:val="20"/>
          <w:lang w:val="fr-FR" w:eastAsia="en-GB"/>
        </w:rPr>
      </w:pPr>
      <w:r w:rsidRPr="00362282">
        <w:rPr>
          <w:sz w:val="20"/>
          <w:szCs w:val="20"/>
          <w:lang w:val="fr-FR" w:eastAsia="en-GB"/>
        </w:rPr>
        <w:t>Les participants bénéficieront d'</w:t>
      </w:r>
      <w:r w:rsidR="00874DC5" w:rsidRPr="00362282">
        <w:rPr>
          <w:sz w:val="20"/>
          <w:szCs w:val="20"/>
          <w:lang w:val="fr-FR" w:eastAsia="en-GB"/>
        </w:rPr>
        <w:t xml:space="preserve">un aperçu des différents enjeux liés au commerce électronique, notamment </w:t>
      </w:r>
      <w:r w:rsidR="00C03E2D">
        <w:rPr>
          <w:sz w:val="20"/>
          <w:szCs w:val="20"/>
          <w:lang w:val="fr-FR" w:eastAsia="en-GB"/>
        </w:rPr>
        <w:t xml:space="preserve">concernant </w:t>
      </w:r>
      <w:r w:rsidR="00874DC5" w:rsidRPr="00362282">
        <w:rPr>
          <w:sz w:val="20"/>
          <w:szCs w:val="20"/>
          <w:lang w:val="fr-FR" w:eastAsia="en-GB"/>
        </w:rPr>
        <w:t>les enjeux commerciaux, internationaux, développementaux, et stratégiques.</w:t>
      </w:r>
    </w:p>
    <w:p w14:paraId="241151D2" w14:textId="77777777" w:rsidR="00874DC5" w:rsidRPr="00362282" w:rsidRDefault="00874DC5" w:rsidP="00874DC5">
      <w:pPr>
        <w:pStyle w:val="ListParagraph"/>
        <w:rPr>
          <w:sz w:val="20"/>
          <w:szCs w:val="20"/>
          <w:lang w:val="fr-FR" w:eastAsia="en-GB"/>
        </w:rPr>
      </w:pPr>
    </w:p>
    <w:p w14:paraId="08AE775C" w14:textId="6542EBE4" w:rsidR="00C57D4A" w:rsidRPr="00362282" w:rsidRDefault="00874DC5" w:rsidP="00863B26">
      <w:pPr>
        <w:pStyle w:val="ListParagraph"/>
        <w:numPr>
          <w:ilvl w:val="0"/>
          <w:numId w:val="19"/>
        </w:numPr>
        <w:rPr>
          <w:sz w:val="20"/>
          <w:szCs w:val="20"/>
          <w:lang w:val="fr-FR" w:eastAsia="en-GB"/>
        </w:rPr>
      </w:pPr>
      <w:r w:rsidRPr="00362282">
        <w:rPr>
          <w:sz w:val="20"/>
          <w:szCs w:val="20"/>
          <w:lang w:val="fr-FR" w:eastAsia="en-GB"/>
        </w:rPr>
        <w:t xml:space="preserve">Les participants pourront développer leurs connaissances </w:t>
      </w:r>
      <w:r w:rsidR="00C57D4A" w:rsidRPr="00362282">
        <w:rPr>
          <w:sz w:val="20"/>
          <w:szCs w:val="20"/>
          <w:lang w:val="fr-FR" w:eastAsia="en-GB"/>
        </w:rPr>
        <w:t>sur le rôle de l'OMC</w:t>
      </w:r>
      <w:r w:rsidR="00C03E2D">
        <w:rPr>
          <w:sz w:val="20"/>
          <w:szCs w:val="20"/>
          <w:lang w:val="fr-FR" w:eastAsia="en-GB"/>
        </w:rPr>
        <w:t>,</w:t>
      </w:r>
      <w:r w:rsidR="00C57D4A" w:rsidRPr="00362282">
        <w:rPr>
          <w:sz w:val="20"/>
          <w:szCs w:val="20"/>
          <w:lang w:val="fr-FR" w:eastAsia="en-GB"/>
        </w:rPr>
        <w:t xml:space="preserve"> ainsi que </w:t>
      </w:r>
      <w:r w:rsidR="00C03E2D">
        <w:rPr>
          <w:sz w:val="20"/>
          <w:szCs w:val="20"/>
          <w:lang w:val="fr-FR" w:eastAsia="en-GB"/>
        </w:rPr>
        <w:t xml:space="preserve">celui </w:t>
      </w:r>
      <w:r w:rsidR="00C57D4A" w:rsidRPr="00362282">
        <w:rPr>
          <w:sz w:val="20"/>
          <w:szCs w:val="20"/>
          <w:lang w:val="fr-FR" w:eastAsia="en-GB"/>
        </w:rPr>
        <w:t>d'autres institutions pertinentes</w:t>
      </w:r>
      <w:r w:rsidR="00C03E2D">
        <w:rPr>
          <w:sz w:val="20"/>
          <w:szCs w:val="20"/>
          <w:lang w:val="fr-FR" w:eastAsia="en-GB"/>
        </w:rPr>
        <w:t>,</w:t>
      </w:r>
      <w:r w:rsidR="00C57D4A" w:rsidRPr="00362282">
        <w:rPr>
          <w:sz w:val="20"/>
          <w:szCs w:val="20"/>
          <w:lang w:val="fr-FR" w:eastAsia="en-GB"/>
        </w:rPr>
        <w:t xml:space="preserve"> dans le cadre de la règlementation du commerce électronique. </w:t>
      </w:r>
    </w:p>
    <w:p w14:paraId="37C5A0A8" w14:textId="77777777" w:rsidR="00C57D4A" w:rsidRPr="00362282" w:rsidRDefault="00C57D4A" w:rsidP="00C57D4A">
      <w:pPr>
        <w:pStyle w:val="ListParagraph"/>
        <w:rPr>
          <w:sz w:val="20"/>
          <w:szCs w:val="20"/>
          <w:lang w:val="fr-FR" w:eastAsia="en-GB"/>
        </w:rPr>
      </w:pPr>
    </w:p>
    <w:p w14:paraId="0DAD5BD1" w14:textId="668A7A65" w:rsidR="00C57D4A" w:rsidRDefault="00C57D4A" w:rsidP="00863B26">
      <w:pPr>
        <w:pStyle w:val="ListParagraph"/>
        <w:numPr>
          <w:ilvl w:val="0"/>
          <w:numId w:val="19"/>
        </w:numPr>
        <w:rPr>
          <w:sz w:val="20"/>
          <w:szCs w:val="20"/>
          <w:lang w:val="fr-FR" w:eastAsia="en-GB"/>
        </w:rPr>
      </w:pPr>
      <w:r w:rsidRPr="00362282">
        <w:rPr>
          <w:sz w:val="20"/>
          <w:szCs w:val="20"/>
          <w:lang w:val="fr-FR" w:eastAsia="en-GB"/>
        </w:rPr>
        <w:t xml:space="preserve">Les participants connaitront l'état des discussions au sein du programme de travail sur le commerce électronique </w:t>
      </w:r>
      <w:r w:rsidR="004A065A">
        <w:rPr>
          <w:sz w:val="20"/>
          <w:szCs w:val="20"/>
          <w:lang w:val="fr-FR" w:eastAsia="en-GB"/>
        </w:rPr>
        <w:t>ainsi que sur</w:t>
      </w:r>
      <w:r w:rsidR="00362282" w:rsidRPr="00362282">
        <w:rPr>
          <w:sz w:val="20"/>
          <w:szCs w:val="20"/>
          <w:lang w:val="fr-FR" w:eastAsia="en-GB"/>
        </w:rPr>
        <w:t xml:space="preserve"> le moratoire </w:t>
      </w:r>
      <w:r w:rsidR="004A065A">
        <w:rPr>
          <w:sz w:val="20"/>
          <w:szCs w:val="20"/>
          <w:lang w:val="fr-FR" w:eastAsia="en-GB"/>
        </w:rPr>
        <w:t>concernant</w:t>
      </w:r>
      <w:r w:rsidR="00362282" w:rsidRPr="00362282">
        <w:rPr>
          <w:sz w:val="20"/>
          <w:szCs w:val="20"/>
          <w:lang w:val="fr-FR" w:eastAsia="en-GB"/>
        </w:rPr>
        <w:t xml:space="preserve"> les droits de douanes sur les transmission</w:t>
      </w:r>
      <w:r w:rsidR="00362282">
        <w:rPr>
          <w:sz w:val="20"/>
          <w:szCs w:val="20"/>
          <w:lang w:val="fr-FR" w:eastAsia="en-GB"/>
        </w:rPr>
        <w:t>s</w:t>
      </w:r>
      <w:r w:rsidR="00362282" w:rsidRPr="00362282">
        <w:rPr>
          <w:sz w:val="20"/>
          <w:szCs w:val="20"/>
          <w:lang w:val="fr-FR" w:eastAsia="en-GB"/>
        </w:rPr>
        <w:t xml:space="preserve"> électroniques </w:t>
      </w:r>
      <w:r w:rsidR="00362282">
        <w:rPr>
          <w:sz w:val="20"/>
          <w:szCs w:val="20"/>
          <w:lang w:val="fr-FR" w:eastAsia="en-GB"/>
        </w:rPr>
        <w:t>(le "moratoire")</w:t>
      </w:r>
      <w:r w:rsidR="004A065A">
        <w:rPr>
          <w:sz w:val="20"/>
          <w:szCs w:val="20"/>
          <w:lang w:val="fr-FR" w:eastAsia="en-GB"/>
        </w:rPr>
        <w:t>. Ces deux éléments sont au cœur d'une des décisions adoptées par les Membres de l'OMC lors de la</w:t>
      </w:r>
      <w:r w:rsidR="00362282" w:rsidRPr="00362282">
        <w:rPr>
          <w:sz w:val="20"/>
          <w:szCs w:val="20"/>
          <w:lang w:val="fr-FR" w:eastAsia="en-GB"/>
        </w:rPr>
        <w:t xml:space="preserve"> Douzième Conférence Ministérielle </w:t>
      </w:r>
      <w:r w:rsidR="006C51A7">
        <w:rPr>
          <w:sz w:val="20"/>
          <w:szCs w:val="20"/>
          <w:lang w:val="fr-FR" w:eastAsia="en-GB"/>
        </w:rPr>
        <w:t xml:space="preserve">(CM12) </w:t>
      </w:r>
      <w:r w:rsidR="004A065A">
        <w:rPr>
          <w:sz w:val="20"/>
          <w:szCs w:val="20"/>
          <w:lang w:val="fr-FR" w:eastAsia="en-GB"/>
        </w:rPr>
        <w:t>qui a eu lieu</w:t>
      </w:r>
      <w:r w:rsidR="00362282" w:rsidRPr="00362282">
        <w:rPr>
          <w:sz w:val="20"/>
          <w:szCs w:val="20"/>
          <w:lang w:val="fr-FR" w:eastAsia="en-GB"/>
        </w:rPr>
        <w:t xml:space="preserve"> en </w:t>
      </w:r>
      <w:r w:rsidR="00362282">
        <w:rPr>
          <w:sz w:val="20"/>
          <w:szCs w:val="20"/>
          <w:lang w:val="fr-FR" w:eastAsia="en-GB"/>
        </w:rPr>
        <w:t>j</w:t>
      </w:r>
      <w:r w:rsidR="00362282" w:rsidRPr="00362282">
        <w:rPr>
          <w:sz w:val="20"/>
          <w:szCs w:val="20"/>
          <w:lang w:val="fr-FR" w:eastAsia="en-GB"/>
        </w:rPr>
        <w:t>uin 2022.</w:t>
      </w:r>
    </w:p>
    <w:p w14:paraId="5634DB58" w14:textId="77777777" w:rsidR="00362282" w:rsidRDefault="00362282" w:rsidP="00362282">
      <w:pPr>
        <w:pStyle w:val="ListParagraph"/>
        <w:rPr>
          <w:sz w:val="20"/>
          <w:szCs w:val="20"/>
          <w:lang w:val="fr-FR" w:eastAsia="en-GB"/>
        </w:rPr>
      </w:pPr>
    </w:p>
    <w:p w14:paraId="0DC4F182" w14:textId="1A026B26" w:rsidR="00362282" w:rsidRDefault="00362282" w:rsidP="00863B26">
      <w:pPr>
        <w:pStyle w:val="ListParagraph"/>
        <w:numPr>
          <w:ilvl w:val="0"/>
          <w:numId w:val="19"/>
        </w:numPr>
        <w:rPr>
          <w:sz w:val="20"/>
          <w:szCs w:val="20"/>
          <w:lang w:val="fr-FR" w:eastAsia="en-GB"/>
        </w:rPr>
      </w:pPr>
      <w:r>
        <w:rPr>
          <w:sz w:val="20"/>
          <w:szCs w:val="20"/>
          <w:lang w:val="fr-FR" w:eastAsia="en-GB"/>
        </w:rPr>
        <w:t>Les débats concernant le moratoire, notamment sur sa portée et son impact, se sont intensifiés ces dernières années. Les participants auront l'occasion d'en apprendre plus sur les différentes positions</w:t>
      </w:r>
      <w:r w:rsidR="00416A6C">
        <w:rPr>
          <w:sz w:val="20"/>
          <w:szCs w:val="20"/>
          <w:lang w:val="fr-FR" w:eastAsia="en-GB"/>
        </w:rPr>
        <w:t xml:space="preserve"> et</w:t>
      </w:r>
      <w:r>
        <w:rPr>
          <w:sz w:val="20"/>
          <w:szCs w:val="20"/>
          <w:lang w:val="fr-FR" w:eastAsia="en-GB"/>
        </w:rPr>
        <w:t xml:space="preserve"> études </w:t>
      </w:r>
      <w:r w:rsidR="00416A6C">
        <w:rPr>
          <w:sz w:val="20"/>
          <w:szCs w:val="20"/>
          <w:lang w:val="fr-FR" w:eastAsia="en-GB"/>
        </w:rPr>
        <w:t xml:space="preserve">menées </w:t>
      </w:r>
      <w:r>
        <w:rPr>
          <w:sz w:val="20"/>
          <w:szCs w:val="20"/>
          <w:lang w:val="fr-FR" w:eastAsia="en-GB"/>
        </w:rPr>
        <w:t>sur le sujet, tout en ayant la possibilité d'échanger</w:t>
      </w:r>
      <w:r w:rsidR="00416A6C">
        <w:rPr>
          <w:sz w:val="20"/>
          <w:szCs w:val="20"/>
          <w:lang w:val="fr-FR" w:eastAsia="en-GB"/>
        </w:rPr>
        <w:t xml:space="preserve"> </w:t>
      </w:r>
      <w:r>
        <w:rPr>
          <w:sz w:val="20"/>
          <w:szCs w:val="20"/>
          <w:lang w:val="fr-FR" w:eastAsia="en-GB"/>
        </w:rPr>
        <w:t xml:space="preserve">et de partager leur expérience. </w:t>
      </w:r>
    </w:p>
    <w:p w14:paraId="69D555D0" w14:textId="77777777" w:rsidR="00416A6C" w:rsidRDefault="00416A6C" w:rsidP="00416A6C">
      <w:pPr>
        <w:pStyle w:val="ListParagraph"/>
        <w:rPr>
          <w:sz w:val="20"/>
          <w:szCs w:val="20"/>
          <w:lang w:val="fr-FR" w:eastAsia="en-GB"/>
        </w:rPr>
      </w:pPr>
    </w:p>
    <w:p w14:paraId="12A8759A" w14:textId="536079EC" w:rsidR="00924861" w:rsidRPr="001D4DF9" w:rsidRDefault="00416A6C" w:rsidP="003D394D">
      <w:pPr>
        <w:pStyle w:val="ListParagraph"/>
        <w:numPr>
          <w:ilvl w:val="0"/>
          <w:numId w:val="19"/>
        </w:numPr>
        <w:rPr>
          <w:sz w:val="20"/>
          <w:szCs w:val="20"/>
          <w:lang w:val="fr-FR" w:eastAsia="en-GB"/>
        </w:rPr>
      </w:pPr>
      <w:r>
        <w:rPr>
          <w:sz w:val="20"/>
          <w:szCs w:val="20"/>
          <w:lang w:val="fr-FR" w:eastAsia="en-GB"/>
        </w:rPr>
        <w:t>Depuis leur lancement en 2017, les négociations plurilatérales au sein de l'initiative conjointe sur le commerce électronique ont rassemblé 87 Membres de l'OMC</w:t>
      </w:r>
      <w:r w:rsidR="00D62343">
        <w:rPr>
          <w:sz w:val="20"/>
          <w:szCs w:val="20"/>
          <w:lang w:val="fr-FR" w:eastAsia="en-GB"/>
        </w:rPr>
        <w:t xml:space="preserve">. Les participants pourront développer leurs connaissances sur les sujets discutés au sein de cette initiative. </w:t>
      </w:r>
    </w:p>
    <w:p w14:paraId="660B39EF" w14:textId="54B84917" w:rsidR="008F4EF5" w:rsidRDefault="008F4EF5" w:rsidP="003D394D">
      <w:pPr>
        <w:rPr>
          <w:sz w:val="20"/>
          <w:szCs w:val="20"/>
          <w:u w:val="single"/>
          <w:lang w:val="fr-FR" w:eastAsia="en-GB"/>
        </w:rPr>
      </w:pPr>
    </w:p>
    <w:p w14:paraId="3CD8ED38" w14:textId="77777777" w:rsidR="00106C52" w:rsidRPr="00C03E2D" w:rsidRDefault="00106C52" w:rsidP="003D394D">
      <w:pPr>
        <w:rPr>
          <w:sz w:val="20"/>
          <w:szCs w:val="20"/>
          <w:u w:val="single"/>
          <w:lang w:val="fr-FR" w:eastAsia="en-GB"/>
        </w:rPr>
      </w:pPr>
    </w:p>
    <w:p w14:paraId="22F7DCCD" w14:textId="556CCD33" w:rsidR="00A97846" w:rsidRPr="00C57D4A" w:rsidRDefault="00924861" w:rsidP="003D394D">
      <w:pPr>
        <w:rPr>
          <w:sz w:val="20"/>
          <w:szCs w:val="20"/>
          <w:lang w:val="fr-CH" w:eastAsia="en-GB"/>
        </w:rPr>
      </w:pPr>
      <w:r w:rsidRPr="00C57D4A">
        <w:rPr>
          <w:sz w:val="20"/>
          <w:szCs w:val="20"/>
          <w:u w:val="single"/>
          <w:lang w:val="fr-CH" w:eastAsia="en-GB"/>
        </w:rPr>
        <w:t>Dates</w:t>
      </w:r>
      <w:r w:rsidR="00874DC5" w:rsidRPr="00C57D4A">
        <w:rPr>
          <w:sz w:val="20"/>
          <w:szCs w:val="20"/>
          <w:u w:val="single"/>
          <w:lang w:val="fr-CH" w:eastAsia="en-GB"/>
        </w:rPr>
        <w:t xml:space="preserve"> </w:t>
      </w:r>
      <w:r w:rsidRPr="00C57D4A">
        <w:rPr>
          <w:sz w:val="20"/>
          <w:szCs w:val="20"/>
          <w:u w:val="single"/>
          <w:lang w:val="fr-CH" w:eastAsia="en-GB"/>
        </w:rPr>
        <w:t>:</w:t>
      </w:r>
      <w:r w:rsidRPr="00C57D4A">
        <w:rPr>
          <w:sz w:val="20"/>
          <w:szCs w:val="20"/>
          <w:lang w:val="fr-CH" w:eastAsia="en-GB"/>
        </w:rPr>
        <w:t xml:space="preserve"> </w:t>
      </w:r>
    </w:p>
    <w:p w14:paraId="176A9BFA" w14:textId="51B7C426" w:rsidR="00924861" w:rsidRPr="004A63F3" w:rsidRDefault="004A63F3" w:rsidP="003D394D">
      <w:pPr>
        <w:rPr>
          <w:sz w:val="20"/>
          <w:szCs w:val="20"/>
          <w:lang w:val="fr-CH" w:eastAsia="en-GB"/>
        </w:rPr>
      </w:pPr>
      <w:r>
        <w:rPr>
          <w:sz w:val="20"/>
          <w:szCs w:val="20"/>
          <w:lang w:val="fr-CH" w:eastAsia="en-GB"/>
        </w:rPr>
        <w:t xml:space="preserve">Le programme aura lieu le </w:t>
      </w:r>
      <w:r w:rsidRPr="004A63F3">
        <w:rPr>
          <w:sz w:val="20"/>
          <w:szCs w:val="20"/>
          <w:lang w:val="fr-CH" w:eastAsia="en-GB"/>
        </w:rPr>
        <w:t>jeudi</w:t>
      </w:r>
      <w:r w:rsidR="00C20158" w:rsidRPr="004A63F3">
        <w:rPr>
          <w:sz w:val="20"/>
          <w:szCs w:val="20"/>
          <w:lang w:val="fr-CH" w:eastAsia="en-GB"/>
        </w:rPr>
        <w:t xml:space="preserve"> </w:t>
      </w:r>
      <w:r w:rsidR="00AD4D7E" w:rsidRPr="004A63F3">
        <w:rPr>
          <w:sz w:val="20"/>
          <w:szCs w:val="20"/>
          <w:lang w:val="fr-CH" w:eastAsia="en-GB"/>
        </w:rPr>
        <w:t>1</w:t>
      </w:r>
      <w:r w:rsidRPr="004A63F3">
        <w:rPr>
          <w:sz w:val="20"/>
          <w:szCs w:val="20"/>
          <w:lang w:val="fr-CH" w:eastAsia="en-GB"/>
        </w:rPr>
        <w:t>3</w:t>
      </w:r>
      <w:r w:rsidR="00C20158" w:rsidRPr="004A63F3">
        <w:rPr>
          <w:sz w:val="20"/>
          <w:szCs w:val="20"/>
          <w:lang w:val="fr-CH" w:eastAsia="en-GB"/>
        </w:rPr>
        <w:t xml:space="preserve"> </w:t>
      </w:r>
      <w:r w:rsidRPr="004A63F3">
        <w:rPr>
          <w:sz w:val="20"/>
          <w:szCs w:val="20"/>
          <w:lang w:val="fr-CH" w:eastAsia="en-GB"/>
        </w:rPr>
        <w:t xml:space="preserve">et </w:t>
      </w:r>
      <w:r>
        <w:rPr>
          <w:sz w:val="20"/>
          <w:szCs w:val="20"/>
          <w:lang w:val="fr-CH" w:eastAsia="en-GB"/>
        </w:rPr>
        <w:t xml:space="preserve">le </w:t>
      </w:r>
      <w:r w:rsidRPr="004A63F3">
        <w:rPr>
          <w:sz w:val="20"/>
          <w:szCs w:val="20"/>
          <w:lang w:val="fr-CH" w:eastAsia="en-GB"/>
        </w:rPr>
        <w:t>vendredi</w:t>
      </w:r>
      <w:r w:rsidR="00C20158" w:rsidRPr="004A63F3">
        <w:rPr>
          <w:sz w:val="20"/>
          <w:szCs w:val="20"/>
          <w:lang w:val="fr-CH" w:eastAsia="en-GB"/>
        </w:rPr>
        <w:t xml:space="preserve"> 1</w:t>
      </w:r>
      <w:r w:rsidRPr="004A63F3">
        <w:rPr>
          <w:sz w:val="20"/>
          <w:szCs w:val="20"/>
          <w:lang w:val="fr-CH" w:eastAsia="en-GB"/>
        </w:rPr>
        <w:t>4 octobre</w:t>
      </w:r>
      <w:r w:rsidR="00AD4D7E" w:rsidRPr="004A63F3">
        <w:rPr>
          <w:sz w:val="20"/>
          <w:szCs w:val="20"/>
          <w:lang w:val="fr-CH" w:eastAsia="en-GB"/>
        </w:rPr>
        <w:t xml:space="preserve"> </w:t>
      </w:r>
      <w:r w:rsidR="00C20158" w:rsidRPr="004A63F3">
        <w:rPr>
          <w:sz w:val="20"/>
          <w:szCs w:val="20"/>
          <w:lang w:val="fr-CH" w:eastAsia="en-GB"/>
        </w:rPr>
        <w:t>(</w:t>
      </w:r>
      <w:r>
        <w:rPr>
          <w:sz w:val="20"/>
          <w:szCs w:val="20"/>
          <w:lang w:val="fr-CH" w:eastAsia="en-GB"/>
        </w:rPr>
        <w:t xml:space="preserve">de </w:t>
      </w:r>
      <w:r w:rsidRPr="004A63F3">
        <w:rPr>
          <w:sz w:val="20"/>
          <w:szCs w:val="20"/>
          <w:lang w:val="fr-CH" w:eastAsia="en-GB"/>
        </w:rPr>
        <w:t>10h00 à 13h00</w:t>
      </w:r>
      <w:r w:rsidR="00C20158" w:rsidRPr="004A63F3">
        <w:rPr>
          <w:sz w:val="20"/>
          <w:szCs w:val="20"/>
          <w:lang w:val="fr-CH" w:eastAsia="en-GB"/>
        </w:rPr>
        <w:t>)</w:t>
      </w:r>
      <w:r>
        <w:rPr>
          <w:sz w:val="20"/>
          <w:szCs w:val="20"/>
          <w:lang w:val="fr-CH" w:eastAsia="en-GB"/>
        </w:rPr>
        <w:t>.</w:t>
      </w:r>
    </w:p>
    <w:p w14:paraId="62242988" w14:textId="77777777" w:rsidR="00924861" w:rsidRPr="004A63F3" w:rsidRDefault="00924861" w:rsidP="003D394D">
      <w:pPr>
        <w:rPr>
          <w:sz w:val="20"/>
          <w:szCs w:val="20"/>
          <w:highlight w:val="yellow"/>
          <w:u w:val="single"/>
          <w:lang w:val="fr-CH" w:eastAsia="en-GB"/>
        </w:rPr>
      </w:pPr>
    </w:p>
    <w:p w14:paraId="26C08E3B" w14:textId="77777777" w:rsidR="008F4EF5" w:rsidRPr="004A63F3" w:rsidRDefault="008F4EF5" w:rsidP="008F4EF5">
      <w:pPr>
        <w:rPr>
          <w:sz w:val="20"/>
          <w:szCs w:val="20"/>
          <w:u w:val="single"/>
          <w:lang w:val="fr-CH" w:eastAsia="en-GB"/>
        </w:rPr>
      </w:pPr>
    </w:p>
    <w:p w14:paraId="245BBC7F" w14:textId="7609BCBC" w:rsidR="00A97846" w:rsidRPr="00874DC5" w:rsidRDefault="00874DC5" w:rsidP="006D2824">
      <w:pPr>
        <w:rPr>
          <w:sz w:val="20"/>
          <w:szCs w:val="20"/>
          <w:lang w:val="fr-FR" w:eastAsia="en-GB"/>
        </w:rPr>
      </w:pPr>
      <w:r w:rsidRPr="00874DC5">
        <w:rPr>
          <w:sz w:val="20"/>
          <w:szCs w:val="20"/>
          <w:u w:val="single"/>
          <w:lang w:val="fr-FR" w:eastAsia="en-GB"/>
        </w:rPr>
        <w:t xml:space="preserve">Formation dispensée par </w:t>
      </w:r>
      <w:r w:rsidR="00924861" w:rsidRPr="00874DC5">
        <w:rPr>
          <w:sz w:val="20"/>
          <w:szCs w:val="20"/>
          <w:u w:val="single"/>
          <w:lang w:val="fr-FR" w:eastAsia="en-GB"/>
        </w:rPr>
        <w:t>:</w:t>
      </w:r>
      <w:r w:rsidR="00924861" w:rsidRPr="00874DC5">
        <w:rPr>
          <w:sz w:val="20"/>
          <w:szCs w:val="20"/>
          <w:lang w:val="fr-FR" w:eastAsia="en-GB"/>
        </w:rPr>
        <w:t xml:space="preserve"> </w:t>
      </w:r>
    </w:p>
    <w:p w14:paraId="05CE5A3A" w14:textId="6E9A66ED" w:rsidR="00924861" w:rsidRPr="00874DC5" w:rsidRDefault="00924861" w:rsidP="006D2824">
      <w:pPr>
        <w:rPr>
          <w:sz w:val="20"/>
          <w:szCs w:val="20"/>
          <w:lang w:val="fr-FR" w:eastAsia="en-GB"/>
        </w:rPr>
      </w:pPr>
      <w:r w:rsidRPr="00874DC5">
        <w:rPr>
          <w:sz w:val="20"/>
          <w:szCs w:val="20"/>
          <w:lang w:val="fr-FR" w:eastAsia="en-GB"/>
        </w:rPr>
        <w:t>Mr Yanis BOURGEOIS</w:t>
      </w:r>
      <w:r w:rsidR="00874DC5" w:rsidRPr="00874DC5">
        <w:rPr>
          <w:sz w:val="20"/>
          <w:szCs w:val="20"/>
          <w:lang w:val="fr-FR" w:eastAsia="en-GB"/>
        </w:rPr>
        <w:t>, Organisation Mondiale du Commerce, Chargé des affaires économiques au sein de la Division du Conseil et du Comité des négociations commerciales.</w:t>
      </w:r>
    </w:p>
    <w:tbl>
      <w:tblPr>
        <w:tblStyle w:val="WTOTable1"/>
        <w:tblpPr w:leftFromText="180" w:rightFromText="180" w:vertAnchor="text" w:horzAnchor="margin" w:tblpX="-998" w:tblpY="-36"/>
        <w:tblW w:w="10632" w:type="dxa"/>
        <w:tblLook w:val="04A0" w:firstRow="1" w:lastRow="0" w:firstColumn="1" w:lastColumn="0" w:noHBand="0" w:noVBand="1"/>
      </w:tblPr>
      <w:tblGrid>
        <w:gridCol w:w="1413"/>
        <w:gridCol w:w="6804"/>
        <w:gridCol w:w="2415"/>
      </w:tblGrid>
      <w:tr w:rsidR="00EE7BF8" w14:paraId="7E14347D" w14:textId="6A4E9462" w:rsidTr="000F6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32" w:type="dxa"/>
            <w:gridSpan w:val="3"/>
            <w:tcBorders>
              <w:top w:val="nil"/>
              <w:bottom w:val="nil"/>
            </w:tcBorders>
          </w:tcPr>
          <w:p w14:paraId="238570C7" w14:textId="77777777" w:rsidR="00EE7BF8" w:rsidRPr="00D83AF7" w:rsidRDefault="00EE7BF8" w:rsidP="00843AF8">
            <w:pPr>
              <w:rPr>
                <w:b w:val="0"/>
                <w:i/>
                <w:iCs/>
                <w:lang w:val="fr-FR"/>
              </w:rPr>
            </w:pPr>
          </w:p>
          <w:p w14:paraId="514446ED" w14:textId="77777777" w:rsidR="00EE7BF8" w:rsidRPr="00D83AF7" w:rsidRDefault="00EE7BF8" w:rsidP="00843AF8">
            <w:pPr>
              <w:rPr>
                <w:b w:val="0"/>
                <w:i/>
                <w:iCs/>
                <w:lang w:val="fr-FR"/>
              </w:rPr>
            </w:pPr>
            <w:r w:rsidRPr="00D83AF7">
              <w:rPr>
                <w:i/>
                <w:iCs/>
                <w:lang w:val="fr-FR"/>
              </w:rPr>
              <w:t>13 octobre 2022</w:t>
            </w:r>
          </w:p>
          <w:p w14:paraId="639F7467" w14:textId="77777777" w:rsidR="00EE7BF8" w:rsidRDefault="00EE7BF8" w:rsidP="00843AF8">
            <w:pPr>
              <w:jc w:val="right"/>
              <w:rPr>
                <w:b w:val="0"/>
                <w:i/>
                <w:iCs/>
              </w:rPr>
            </w:pPr>
          </w:p>
        </w:tc>
      </w:tr>
      <w:tr w:rsidR="00383993" w14:paraId="5A7C0B1F" w14:textId="77418D79" w:rsidTr="00C02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14:paraId="618B4650" w14:textId="500AD4B2" w:rsidR="00383993" w:rsidRPr="00D83AF7" w:rsidRDefault="00D83AF7" w:rsidP="00843AF8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10h00</w:t>
            </w:r>
            <w:r w:rsidR="007A2D53">
              <w:rPr>
                <w:i/>
                <w:iCs/>
                <w:lang w:val="fr-FR"/>
              </w:rPr>
              <w:t>-1</w:t>
            </w:r>
            <w:r w:rsidR="0056551E">
              <w:rPr>
                <w:i/>
                <w:iCs/>
                <w:lang w:val="fr-FR"/>
              </w:rPr>
              <w:t>0</w:t>
            </w:r>
            <w:r w:rsidR="007A2D53">
              <w:rPr>
                <w:i/>
                <w:iCs/>
                <w:lang w:val="fr-FR"/>
              </w:rPr>
              <w:t>h</w:t>
            </w:r>
            <w:r w:rsidR="00EE7BF8">
              <w:rPr>
                <w:i/>
                <w:iCs/>
                <w:lang w:val="fr-FR"/>
              </w:rPr>
              <w:t>45</w:t>
            </w:r>
          </w:p>
        </w:tc>
        <w:tc>
          <w:tcPr>
            <w:tcW w:w="6804" w:type="dxa"/>
            <w:shd w:val="clear" w:color="auto" w:fill="B6DDE8" w:themeFill="accent5" w:themeFillTint="66"/>
          </w:tcPr>
          <w:p w14:paraId="18F8B15F" w14:textId="0608595C" w:rsidR="001468E4" w:rsidRPr="00D83AF7" w:rsidRDefault="00D9300A" w:rsidP="00843AF8">
            <w:pPr>
              <w:rPr>
                <w:b/>
                <w:bCs/>
                <w:lang w:val="fr-FR"/>
              </w:rPr>
            </w:pPr>
            <w:bookmarkStart w:id="0" w:name="_Hlk100678165"/>
            <w:r>
              <w:rPr>
                <w:b/>
                <w:bCs/>
                <w:lang w:val="fr-FR"/>
              </w:rPr>
              <w:t xml:space="preserve">Propos introductifs </w:t>
            </w:r>
          </w:p>
          <w:p w14:paraId="0D9E3266" w14:textId="77777777" w:rsidR="00D9300A" w:rsidRDefault="00D9300A" w:rsidP="005A434E">
            <w:pPr>
              <w:pStyle w:val="ListParagraph"/>
              <w:numPr>
                <w:ilvl w:val="0"/>
                <w:numId w:val="22"/>
              </w:numPr>
              <w:rPr>
                <w:lang w:val="fr-FR"/>
              </w:rPr>
            </w:pPr>
            <w:r>
              <w:rPr>
                <w:lang w:val="fr-FR"/>
              </w:rPr>
              <w:t>Objectifs du programme</w:t>
            </w:r>
          </w:p>
          <w:bookmarkEnd w:id="0"/>
          <w:p w14:paraId="42B26079" w14:textId="19689DCA" w:rsidR="006C51A7" w:rsidRDefault="006C51A7" w:rsidP="0056551E">
            <w:pPr>
              <w:pStyle w:val="ListParagraph"/>
              <w:numPr>
                <w:ilvl w:val="0"/>
                <w:numId w:val="22"/>
              </w:numPr>
              <w:rPr>
                <w:lang w:val="fr-FR"/>
              </w:rPr>
            </w:pPr>
            <w:r>
              <w:rPr>
                <w:lang w:val="fr-FR"/>
              </w:rPr>
              <w:t>Point sur l</w:t>
            </w:r>
            <w:r w:rsidR="00EE7BF8">
              <w:rPr>
                <w:lang w:val="fr-FR"/>
              </w:rPr>
              <w:t>es</w:t>
            </w:r>
            <w:r>
              <w:rPr>
                <w:lang w:val="fr-FR"/>
              </w:rPr>
              <w:t xml:space="preserve"> Décision</w:t>
            </w:r>
            <w:r w:rsidR="00EE7BF8">
              <w:rPr>
                <w:lang w:val="fr-FR"/>
              </w:rPr>
              <w:t>s et Déclarations</w:t>
            </w:r>
            <w:r w:rsidR="00C42911">
              <w:rPr>
                <w:lang w:val="fr-FR"/>
              </w:rPr>
              <w:t xml:space="preserve"> ministérielle</w:t>
            </w:r>
            <w:r w:rsidR="00EE7BF8">
              <w:rPr>
                <w:lang w:val="fr-FR"/>
              </w:rPr>
              <w:t>s</w:t>
            </w:r>
            <w:r>
              <w:rPr>
                <w:lang w:val="fr-FR"/>
              </w:rPr>
              <w:t xml:space="preserve"> adoptée</w:t>
            </w:r>
            <w:r w:rsidR="00EE7BF8">
              <w:rPr>
                <w:lang w:val="fr-FR"/>
              </w:rPr>
              <w:t>s</w:t>
            </w:r>
            <w:r>
              <w:rPr>
                <w:lang w:val="fr-FR"/>
              </w:rPr>
              <w:t xml:space="preserve"> lors de la CM12</w:t>
            </w:r>
            <w:r w:rsidR="00C42911">
              <w:rPr>
                <w:lang w:val="fr-FR"/>
              </w:rPr>
              <w:t xml:space="preserve"> </w:t>
            </w:r>
            <w:r w:rsidR="00F019D5">
              <w:rPr>
                <w:lang w:val="fr-FR"/>
              </w:rPr>
              <w:t xml:space="preserve">de l'OMC </w:t>
            </w:r>
            <w:r w:rsidR="00C42911">
              <w:rPr>
                <w:lang w:val="fr-FR"/>
              </w:rPr>
              <w:t>(juin 2022)</w:t>
            </w:r>
          </w:p>
          <w:p w14:paraId="60633F30" w14:textId="67CD1BDA" w:rsidR="006C51A7" w:rsidRPr="0056551E" w:rsidRDefault="006C51A7" w:rsidP="006C51A7">
            <w:pPr>
              <w:pStyle w:val="ListParagraph"/>
              <w:rPr>
                <w:lang w:val="fr-FR"/>
              </w:rPr>
            </w:pPr>
          </w:p>
        </w:tc>
        <w:tc>
          <w:tcPr>
            <w:tcW w:w="2415" w:type="dxa"/>
            <w:shd w:val="clear" w:color="auto" w:fill="B6DDE8" w:themeFill="accent5" w:themeFillTint="66"/>
          </w:tcPr>
          <w:p w14:paraId="7D9956E4" w14:textId="086A2473" w:rsidR="00C03E2D" w:rsidRDefault="00C03E2D" w:rsidP="00723C54">
            <w:pPr>
              <w:jc w:val="right"/>
            </w:pPr>
            <w:r w:rsidRPr="00C03E2D">
              <w:rPr>
                <w:highlight w:val="yellow"/>
              </w:rPr>
              <w:t>XXX</w:t>
            </w:r>
          </w:p>
          <w:p w14:paraId="73DDAA9B" w14:textId="77777777" w:rsidR="0056551E" w:rsidRDefault="0056551E" w:rsidP="0056551E"/>
          <w:p w14:paraId="61072010" w14:textId="77777777" w:rsidR="0056551E" w:rsidRDefault="0056551E" w:rsidP="0056551E"/>
          <w:p w14:paraId="28DD570A" w14:textId="1693EDF9" w:rsidR="00723C54" w:rsidRPr="00723C54" w:rsidRDefault="00723C54" w:rsidP="00723C54">
            <w:pPr>
              <w:ind w:firstLine="567"/>
              <w:jc w:val="right"/>
            </w:pPr>
          </w:p>
        </w:tc>
      </w:tr>
      <w:tr w:rsidR="0056551E" w14:paraId="4050A92C" w14:textId="77777777" w:rsidTr="00565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</w:tcPr>
          <w:p w14:paraId="1EE6E95D" w14:textId="41AC5F1B" w:rsidR="0056551E" w:rsidRDefault="0056551E" w:rsidP="00843AF8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1</w:t>
            </w:r>
            <w:r w:rsidR="00C026D8">
              <w:rPr>
                <w:i/>
                <w:iCs/>
                <w:lang w:val="fr-FR"/>
              </w:rPr>
              <w:t>0h</w:t>
            </w:r>
            <w:r w:rsidR="00EE7BF8">
              <w:rPr>
                <w:i/>
                <w:iCs/>
                <w:lang w:val="fr-FR"/>
              </w:rPr>
              <w:t>45</w:t>
            </w:r>
            <w:r>
              <w:rPr>
                <w:i/>
                <w:iCs/>
                <w:lang w:val="fr-FR"/>
              </w:rPr>
              <w:t>-1</w:t>
            </w:r>
            <w:r w:rsidR="00C026D8">
              <w:rPr>
                <w:i/>
                <w:iCs/>
                <w:lang w:val="fr-FR"/>
              </w:rPr>
              <w:t>1h</w:t>
            </w:r>
            <w:r w:rsidR="00EE7BF8">
              <w:rPr>
                <w:i/>
                <w:iCs/>
                <w:lang w:val="fr-FR"/>
              </w:rPr>
              <w:t>45</w:t>
            </w:r>
          </w:p>
        </w:tc>
        <w:tc>
          <w:tcPr>
            <w:tcW w:w="6804" w:type="dxa"/>
            <w:shd w:val="clear" w:color="auto" w:fill="auto"/>
          </w:tcPr>
          <w:p w14:paraId="6965EC17" w14:textId="77777777" w:rsidR="0056551E" w:rsidRPr="00D83AF7" w:rsidRDefault="0056551E" w:rsidP="0056551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Introduction au e</w:t>
            </w:r>
            <w:r w:rsidRPr="00D83AF7">
              <w:rPr>
                <w:b/>
                <w:bCs/>
                <w:lang w:val="fr-FR"/>
              </w:rPr>
              <w:t>-commerc</w:t>
            </w:r>
            <w:r>
              <w:rPr>
                <w:b/>
                <w:bCs/>
                <w:lang w:val="fr-FR"/>
              </w:rPr>
              <w:t>e</w:t>
            </w:r>
          </w:p>
          <w:p w14:paraId="061F1443" w14:textId="77777777" w:rsidR="0056551E" w:rsidRDefault="0056551E" w:rsidP="0056551E">
            <w:pPr>
              <w:pStyle w:val="ListParagraph"/>
              <w:numPr>
                <w:ilvl w:val="0"/>
                <w:numId w:val="20"/>
              </w:numPr>
            </w:pPr>
            <w:r>
              <w:t>Evolution du e-commerce</w:t>
            </w:r>
          </w:p>
          <w:p w14:paraId="71590303" w14:textId="77777777" w:rsidR="0056551E" w:rsidRPr="007A2D53" w:rsidRDefault="0056551E" w:rsidP="0056551E">
            <w:pPr>
              <w:pStyle w:val="ListParagraph"/>
              <w:numPr>
                <w:ilvl w:val="0"/>
                <w:numId w:val="20"/>
              </w:numPr>
              <w:rPr>
                <w:lang w:val="fr-CH"/>
              </w:rPr>
            </w:pPr>
            <w:r w:rsidRPr="007A2D53">
              <w:rPr>
                <w:lang w:val="fr-CH"/>
              </w:rPr>
              <w:t>Classification des transactions e-c</w:t>
            </w:r>
            <w:r>
              <w:rPr>
                <w:lang w:val="fr-CH"/>
              </w:rPr>
              <w:t>ommerce</w:t>
            </w:r>
          </w:p>
          <w:p w14:paraId="7ED57E86" w14:textId="77777777" w:rsidR="0056551E" w:rsidRPr="007A2D53" w:rsidRDefault="0056551E" w:rsidP="0056551E">
            <w:pPr>
              <w:pStyle w:val="ListParagraph"/>
              <w:numPr>
                <w:ilvl w:val="0"/>
                <w:numId w:val="20"/>
              </w:numPr>
              <w:rPr>
                <w:lang w:val="fr-CH"/>
              </w:rPr>
            </w:pPr>
            <w:r w:rsidRPr="007A2D53">
              <w:rPr>
                <w:lang w:val="fr-CH"/>
              </w:rPr>
              <w:t>E-commerce et Covid-19</w:t>
            </w:r>
          </w:p>
          <w:p w14:paraId="5F63E55F" w14:textId="77777777" w:rsidR="0056551E" w:rsidRPr="007A2D53" w:rsidRDefault="0056551E" w:rsidP="0056551E">
            <w:pPr>
              <w:pStyle w:val="ListParagraph"/>
              <w:numPr>
                <w:ilvl w:val="0"/>
                <w:numId w:val="20"/>
              </w:numPr>
              <w:rPr>
                <w:lang w:val="fr-CH"/>
              </w:rPr>
            </w:pPr>
            <w:r w:rsidRPr="007A2D53">
              <w:rPr>
                <w:lang w:val="fr-FR"/>
              </w:rPr>
              <w:t>Gouvernance</w:t>
            </w:r>
            <w:r w:rsidRPr="007A2D53">
              <w:rPr>
                <w:lang w:val="fr-CH"/>
              </w:rPr>
              <w:t xml:space="preserve"> régionale du e-c</w:t>
            </w:r>
            <w:r>
              <w:rPr>
                <w:lang w:val="fr-CH"/>
              </w:rPr>
              <w:t>ommerce</w:t>
            </w:r>
          </w:p>
          <w:p w14:paraId="16634FBF" w14:textId="77777777" w:rsidR="0056551E" w:rsidRDefault="0056551E" w:rsidP="0056551E">
            <w:pPr>
              <w:rPr>
                <w:b/>
                <w:bCs/>
                <w:lang w:val="fr-FR"/>
              </w:rPr>
            </w:pPr>
          </w:p>
          <w:p w14:paraId="1D58B220" w14:textId="4E6D0724" w:rsidR="0056551E" w:rsidRPr="0056551E" w:rsidRDefault="0056551E" w:rsidP="0056551E">
            <w:pPr>
              <w:rPr>
                <w:i/>
                <w:iCs/>
                <w:lang w:val="fr-FR"/>
              </w:rPr>
            </w:pPr>
            <w:r w:rsidRPr="00892E55">
              <w:rPr>
                <w:i/>
                <w:iCs/>
                <w:lang w:val="fr-FR"/>
              </w:rPr>
              <w:t>Questions/Réponses</w:t>
            </w:r>
          </w:p>
          <w:p w14:paraId="1B9352C1" w14:textId="522CD79E" w:rsidR="0056551E" w:rsidRDefault="0056551E" w:rsidP="00843AF8">
            <w:pPr>
              <w:rPr>
                <w:b/>
                <w:bCs/>
                <w:lang w:val="fr-FR"/>
              </w:rPr>
            </w:pPr>
          </w:p>
        </w:tc>
        <w:tc>
          <w:tcPr>
            <w:tcW w:w="2415" w:type="dxa"/>
            <w:shd w:val="clear" w:color="auto" w:fill="auto"/>
          </w:tcPr>
          <w:p w14:paraId="501FD31F" w14:textId="77777777" w:rsidR="00C026D8" w:rsidRPr="00383993" w:rsidRDefault="00C026D8" w:rsidP="00C026D8">
            <w:pPr>
              <w:jc w:val="right"/>
            </w:pPr>
            <w:r w:rsidRPr="00383993">
              <w:t>Yanis BOURGEOIS</w:t>
            </w:r>
            <w:r>
              <w:t>, OMC</w:t>
            </w:r>
          </w:p>
          <w:p w14:paraId="7DDA71E7" w14:textId="77777777" w:rsidR="0056551E" w:rsidRPr="00C03E2D" w:rsidRDefault="0056551E" w:rsidP="00723C54">
            <w:pPr>
              <w:jc w:val="right"/>
              <w:rPr>
                <w:highlight w:val="yellow"/>
              </w:rPr>
            </w:pPr>
          </w:p>
        </w:tc>
      </w:tr>
      <w:tr w:rsidR="00383993" w:rsidRPr="00383993" w14:paraId="68A44CB9" w14:textId="4E60ECAE" w:rsidTr="00892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shd w:val="clear" w:color="auto" w:fill="B6DDE8" w:themeFill="accent5" w:themeFillTint="66"/>
          </w:tcPr>
          <w:p w14:paraId="63C399AC" w14:textId="4B4F0493" w:rsidR="00383993" w:rsidRPr="00D83AF7" w:rsidRDefault="00892E55" w:rsidP="00843AF8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1</w:t>
            </w:r>
            <w:r w:rsidR="00C026D8">
              <w:rPr>
                <w:i/>
                <w:iCs/>
                <w:lang w:val="fr-FR"/>
              </w:rPr>
              <w:t>1</w:t>
            </w:r>
            <w:r>
              <w:rPr>
                <w:i/>
                <w:iCs/>
                <w:lang w:val="fr-FR"/>
              </w:rPr>
              <w:t>h</w:t>
            </w:r>
            <w:r w:rsidR="00EE7BF8">
              <w:rPr>
                <w:i/>
                <w:iCs/>
                <w:lang w:val="fr-FR"/>
              </w:rPr>
              <w:t>45</w:t>
            </w:r>
            <w:r>
              <w:rPr>
                <w:i/>
                <w:iCs/>
                <w:lang w:val="fr-FR"/>
              </w:rPr>
              <w:t>-13h</w:t>
            </w:r>
            <w:r w:rsidR="0056551E">
              <w:rPr>
                <w:i/>
                <w:iCs/>
                <w:lang w:val="fr-FR"/>
              </w:rPr>
              <w:t>00</w:t>
            </w:r>
          </w:p>
          <w:p w14:paraId="61EB4D86" w14:textId="77777777" w:rsidR="00383993" w:rsidRPr="00D83AF7" w:rsidRDefault="00383993" w:rsidP="00843AF8">
            <w:pPr>
              <w:rPr>
                <w:i/>
                <w:iCs/>
                <w:lang w:val="fr-FR"/>
              </w:rPr>
            </w:pPr>
          </w:p>
        </w:tc>
        <w:tc>
          <w:tcPr>
            <w:tcW w:w="6804" w:type="dxa"/>
            <w:shd w:val="clear" w:color="auto" w:fill="B6DDE8" w:themeFill="accent5" w:themeFillTint="66"/>
          </w:tcPr>
          <w:p w14:paraId="096E703A" w14:textId="2471A706" w:rsidR="001468E4" w:rsidRPr="00D83AF7" w:rsidRDefault="00D9300A" w:rsidP="00843AF8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Discussions multilatérales sur le </w:t>
            </w:r>
            <w:r w:rsidR="00CA015B">
              <w:rPr>
                <w:b/>
                <w:bCs/>
                <w:lang w:val="fr-FR"/>
              </w:rPr>
              <w:t>commerce électronique</w:t>
            </w:r>
          </w:p>
          <w:p w14:paraId="5870526F" w14:textId="29572164" w:rsidR="00D9300A" w:rsidRDefault="00D9300A" w:rsidP="00843AF8">
            <w:pPr>
              <w:pStyle w:val="ListParagraph"/>
              <w:numPr>
                <w:ilvl w:val="0"/>
                <w:numId w:val="20"/>
              </w:numPr>
              <w:rPr>
                <w:lang w:val="fr-FR"/>
              </w:rPr>
            </w:pPr>
            <w:r>
              <w:rPr>
                <w:lang w:val="fr-FR"/>
              </w:rPr>
              <w:t>Programme de travail de 1998 sur le commerce électronique</w:t>
            </w:r>
          </w:p>
          <w:p w14:paraId="0EA8B473" w14:textId="41E6AAAA" w:rsidR="00D9300A" w:rsidRDefault="00D9300A" w:rsidP="00843AF8">
            <w:pPr>
              <w:pStyle w:val="ListParagraph"/>
              <w:numPr>
                <w:ilvl w:val="0"/>
                <w:numId w:val="20"/>
              </w:numPr>
              <w:rPr>
                <w:lang w:val="fr-FR"/>
              </w:rPr>
            </w:pPr>
            <w:r>
              <w:rPr>
                <w:lang w:val="fr-FR"/>
              </w:rPr>
              <w:t>Moratoire sur les droits de douanes sur les transmissions électroniques</w:t>
            </w:r>
          </w:p>
          <w:p w14:paraId="492E1213" w14:textId="393F069D" w:rsidR="00892E55" w:rsidRDefault="00892E55" w:rsidP="00843AF8">
            <w:pPr>
              <w:pStyle w:val="ListParagraph"/>
              <w:numPr>
                <w:ilvl w:val="0"/>
                <w:numId w:val="20"/>
              </w:numPr>
              <w:rPr>
                <w:lang w:val="fr-FR"/>
              </w:rPr>
            </w:pPr>
            <w:r>
              <w:rPr>
                <w:lang w:val="fr-FR"/>
              </w:rPr>
              <w:t>Décisions de l'OMC sur le e-commerce</w:t>
            </w:r>
          </w:p>
          <w:p w14:paraId="5DA4CF0A" w14:textId="67485F3B" w:rsidR="00383993" w:rsidRDefault="00383993" w:rsidP="00843AF8">
            <w:pPr>
              <w:rPr>
                <w:b/>
                <w:bCs/>
                <w:lang w:val="fr-FR"/>
              </w:rPr>
            </w:pPr>
          </w:p>
          <w:p w14:paraId="5E7A4D26" w14:textId="1DEA998A" w:rsidR="00892E55" w:rsidRPr="00892E55" w:rsidRDefault="00892E55" w:rsidP="00892E55">
            <w:pPr>
              <w:rPr>
                <w:i/>
                <w:iCs/>
                <w:lang w:val="fr-FR"/>
              </w:rPr>
            </w:pPr>
            <w:r w:rsidRPr="00892E55">
              <w:rPr>
                <w:i/>
                <w:iCs/>
                <w:lang w:val="fr-FR"/>
              </w:rPr>
              <w:t>Exercice et Questions/Réponses</w:t>
            </w:r>
          </w:p>
          <w:p w14:paraId="1B09F90E" w14:textId="010E437B" w:rsidR="00383993" w:rsidRPr="00D83AF7" w:rsidRDefault="00383993" w:rsidP="00843AF8">
            <w:pPr>
              <w:rPr>
                <w:b/>
                <w:bCs/>
                <w:lang w:val="fr-FR"/>
              </w:rPr>
            </w:pPr>
          </w:p>
        </w:tc>
        <w:tc>
          <w:tcPr>
            <w:tcW w:w="2415" w:type="dxa"/>
            <w:shd w:val="clear" w:color="auto" w:fill="B6DDE8" w:themeFill="accent5" w:themeFillTint="66"/>
          </w:tcPr>
          <w:p w14:paraId="7764A513" w14:textId="284DDAAF" w:rsidR="00383993" w:rsidRPr="00383993" w:rsidRDefault="00383993" w:rsidP="00843AF8">
            <w:pPr>
              <w:jc w:val="right"/>
              <w:rPr>
                <w:lang w:val="fr-CH"/>
              </w:rPr>
            </w:pPr>
          </w:p>
        </w:tc>
      </w:tr>
      <w:tr w:rsidR="00EE7BF8" w14:paraId="7A6C363E" w14:textId="6B1DD03F" w:rsidTr="00266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632" w:type="dxa"/>
            <w:gridSpan w:val="3"/>
            <w:shd w:val="clear" w:color="auto" w:fill="006283"/>
          </w:tcPr>
          <w:p w14:paraId="055E41F6" w14:textId="77777777" w:rsidR="00EE7BF8" w:rsidRPr="00D83AF7" w:rsidRDefault="00EE7BF8" w:rsidP="00843AF8">
            <w:pPr>
              <w:rPr>
                <w:b/>
                <w:bCs/>
                <w:i/>
                <w:iCs/>
                <w:color w:val="FFFFFF" w:themeColor="background1"/>
                <w:lang w:val="fr-FR"/>
              </w:rPr>
            </w:pPr>
          </w:p>
          <w:p w14:paraId="0C153BEF" w14:textId="77777777" w:rsidR="00EE7BF8" w:rsidRPr="00D83AF7" w:rsidRDefault="00EE7BF8" w:rsidP="00843AF8">
            <w:pPr>
              <w:rPr>
                <w:b/>
                <w:bCs/>
                <w:i/>
                <w:iCs/>
                <w:color w:val="FFFFFF" w:themeColor="background1"/>
                <w:lang w:val="fr-FR"/>
              </w:rPr>
            </w:pPr>
            <w:r>
              <w:rPr>
                <w:b/>
                <w:bCs/>
                <w:i/>
                <w:iCs/>
                <w:color w:val="FFFFFF" w:themeColor="background1"/>
                <w:lang w:val="fr-FR"/>
              </w:rPr>
              <w:t>14 octobre 2022</w:t>
            </w:r>
          </w:p>
          <w:p w14:paraId="71CAF4F3" w14:textId="77777777" w:rsidR="00EE7BF8" w:rsidRDefault="00EE7BF8" w:rsidP="00843AF8">
            <w:pPr>
              <w:jc w:val="right"/>
              <w:rPr>
                <w:b/>
                <w:bCs/>
                <w:i/>
                <w:iCs/>
                <w:color w:val="FFFFFF" w:themeColor="background1"/>
              </w:rPr>
            </w:pPr>
          </w:p>
        </w:tc>
      </w:tr>
      <w:tr w:rsidR="00383993" w14:paraId="03F356A9" w14:textId="79F1C1F6" w:rsidTr="00CA0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shd w:val="clear" w:color="auto" w:fill="auto"/>
          </w:tcPr>
          <w:p w14:paraId="07C4CAF9" w14:textId="1F1BD3BD" w:rsidR="00383993" w:rsidRPr="00D83AF7" w:rsidRDefault="007751BC" w:rsidP="00843AF8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10h00-11h</w:t>
            </w:r>
            <w:r w:rsidR="00892E55">
              <w:rPr>
                <w:i/>
                <w:iCs/>
                <w:lang w:val="fr-FR"/>
              </w:rPr>
              <w:t>00</w:t>
            </w:r>
          </w:p>
        </w:tc>
        <w:tc>
          <w:tcPr>
            <w:tcW w:w="6804" w:type="dxa"/>
            <w:shd w:val="clear" w:color="auto" w:fill="auto"/>
          </w:tcPr>
          <w:p w14:paraId="4178745A" w14:textId="5C74CF5A" w:rsidR="00892E55" w:rsidRDefault="00892E55" w:rsidP="00843AF8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Atelier/Echanges sur le moratoire</w:t>
            </w:r>
          </w:p>
          <w:p w14:paraId="3F82365D" w14:textId="77777777" w:rsidR="00892E55" w:rsidRDefault="00892E55" w:rsidP="00843AF8">
            <w:pPr>
              <w:rPr>
                <w:b/>
                <w:bCs/>
                <w:lang w:val="fr-FR"/>
              </w:rPr>
            </w:pPr>
          </w:p>
          <w:p w14:paraId="23AB76A5" w14:textId="3409E8DC" w:rsidR="007D5159" w:rsidRPr="00CA015B" w:rsidRDefault="007D5159" w:rsidP="00843AF8">
            <w:pPr>
              <w:rPr>
                <w:b/>
                <w:bCs/>
                <w:lang w:val="fr-CH"/>
              </w:rPr>
            </w:pPr>
          </w:p>
        </w:tc>
        <w:tc>
          <w:tcPr>
            <w:tcW w:w="2415" w:type="dxa"/>
            <w:shd w:val="clear" w:color="auto" w:fill="auto"/>
          </w:tcPr>
          <w:p w14:paraId="4AAAE3CA" w14:textId="78C5FF40" w:rsidR="00383993" w:rsidRPr="007C5BB6" w:rsidRDefault="00CA015B" w:rsidP="00843AF8">
            <w:pPr>
              <w:jc w:val="right"/>
            </w:pPr>
            <w:r w:rsidRPr="009F7004">
              <w:t>Yanis BOURGEOIS</w:t>
            </w:r>
            <w:r w:rsidR="008E11A5">
              <w:t>, OMC</w:t>
            </w:r>
            <w:r w:rsidRPr="009F7004">
              <w:t xml:space="preserve">  </w:t>
            </w:r>
          </w:p>
        </w:tc>
      </w:tr>
      <w:tr w:rsidR="00892E55" w14:paraId="26801923" w14:textId="77777777" w:rsidTr="00892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3" w:type="dxa"/>
            <w:shd w:val="clear" w:color="auto" w:fill="B6DDE8" w:themeFill="accent5" w:themeFillTint="66"/>
          </w:tcPr>
          <w:p w14:paraId="1014A2E3" w14:textId="5EB3E80C" w:rsidR="00892E55" w:rsidRPr="00892E55" w:rsidRDefault="00892E55" w:rsidP="00843AF8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11h00-12h30</w:t>
            </w:r>
          </w:p>
          <w:p w14:paraId="264E4323" w14:textId="77777777" w:rsidR="00892E55" w:rsidRDefault="00892E55" w:rsidP="00843AF8">
            <w:pPr>
              <w:rPr>
                <w:i/>
                <w:iCs/>
                <w:lang w:val="fr-FR"/>
              </w:rPr>
            </w:pPr>
          </w:p>
          <w:p w14:paraId="73493BA5" w14:textId="77777777" w:rsidR="00892E55" w:rsidRDefault="00892E55" w:rsidP="00843AF8">
            <w:pPr>
              <w:rPr>
                <w:i/>
                <w:iCs/>
                <w:lang w:val="fr-FR"/>
              </w:rPr>
            </w:pPr>
          </w:p>
          <w:p w14:paraId="44E12472" w14:textId="23724EE4" w:rsidR="00892E55" w:rsidRDefault="00892E55" w:rsidP="00843AF8">
            <w:pPr>
              <w:rPr>
                <w:i/>
                <w:iCs/>
                <w:lang w:val="fr-FR"/>
              </w:rPr>
            </w:pPr>
          </w:p>
        </w:tc>
        <w:tc>
          <w:tcPr>
            <w:tcW w:w="6804" w:type="dxa"/>
            <w:shd w:val="clear" w:color="auto" w:fill="B6DDE8" w:themeFill="accent5" w:themeFillTint="66"/>
          </w:tcPr>
          <w:p w14:paraId="1F738C91" w14:textId="41258471" w:rsidR="00892E55" w:rsidRPr="003169CF" w:rsidRDefault="00892E55" w:rsidP="00892E55">
            <w:pPr>
              <w:rPr>
                <w:b/>
                <w:bCs/>
                <w:lang w:val="fr-FR"/>
              </w:rPr>
            </w:pPr>
            <w:r w:rsidRPr="003169CF">
              <w:rPr>
                <w:b/>
                <w:bCs/>
                <w:lang w:val="fr-FR"/>
              </w:rPr>
              <w:t>Négociations plurilatérales sur le commerce électronique</w:t>
            </w:r>
          </w:p>
          <w:p w14:paraId="464745E4" w14:textId="6168C257" w:rsidR="003169CF" w:rsidRPr="003169CF" w:rsidRDefault="003169CF" w:rsidP="00892E55">
            <w:pPr>
              <w:pStyle w:val="ListParagraph"/>
              <w:numPr>
                <w:ilvl w:val="0"/>
                <w:numId w:val="20"/>
              </w:numPr>
              <w:rPr>
                <w:lang w:val="fr-FR"/>
              </w:rPr>
            </w:pPr>
            <w:r w:rsidRPr="003169CF">
              <w:rPr>
                <w:lang w:val="fr-FR"/>
              </w:rPr>
              <w:t>Evolution et aperçu des négociations en cours au sein de l'initiative conjointe sur le commerce électronique</w:t>
            </w:r>
          </w:p>
          <w:p w14:paraId="35516BBC" w14:textId="55C198E0" w:rsidR="003E789B" w:rsidRPr="003169CF" w:rsidRDefault="003169CF" w:rsidP="00892E55">
            <w:pPr>
              <w:pStyle w:val="ListParagraph"/>
              <w:numPr>
                <w:ilvl w:val="0"/>
                <w:numId w:val="20"/>
              </w:numPr>
              <w:rPr>
                <w:lang w:val="fr-FR"/>
              </w:rPr>
            </w:pPr>
            <w:r w:rsidRPr="003169CF">
              <w:rPr>
                <w:lang w:val="fr-FR"/>
              </w:rPr>
              <w:t>Aperçu des différents sujets négociés</w:t>
            </w:r>
          </w:p>
          <w:p w14:paraId="38EF896D" w14:textId="1D97F707" w:rsidR="003169CF" w:rsidRPr="003169CF" w:rsidRDefault="003169CF" w:rsidP="00892E55">
            <w:pPr>
              <w:pStyle w:val="ListParagraph"/>
              <w:numPr>
                <w:ilvl w:val="0"/>
                <w:numId w:val="20"/>
              </w:numPr>
              <w:rPr>
                <w:lang w:val="fr-FR"/>
              </w:rPr>
            </w:pPr>
            <w:r w:rsidRPr="003169CF">
              <w:rPr>
                <w:lang w:val="fr-FR"/>
              </w:rPr>
              <w:t>Défis liés à l'architecture juridique et à la substance des négociations</w:t>
            </w:r>
          </w:p>
          <w:p w14:paraId="252D36B1" w14:textId="277989AB" w:rsidR="003169CF" w:rsidRPr="003169CF" w:rsidRDefault="003169CF" w:rsidP="00892E55">
            <w:pPr>
              <w:pStyle w:val="ListParagraph"/>
              <w:numPr>
                <w:ilvl w:val="0"/>
                <w:numId w:val="20"/>
              </w:numPr>
              <w:rPr>
                <w:lang w:val="fr-FR"/>
              </w:rPr>
            </w:pPr>
            <w:r w:rsidRPr="003169CF">
              <w:rPr>
                <w:lang w:val="fr-FR"/>
              </w:rPr>
              <w:t>Résultats obtenus et prochaines étapes dans les négociations</w:t>
            </w:r>
          </w:p>
          <w:p w14:paraId="09C3C69C" w14:textId="77777777" w:rsidR="00892E55" w:rsidRPr="00104C87" w:rsidRDefault="00892E55" w:rsidP="00892E55">
            <w:pPr>
              <w:rPr>
                <w:b/>
                <w:bCs/>
                <w:lang w:val="fr-CH"/>
              </w:rPr>
            </w:pPr>
          </w:p>
          <w:p w14:paraId="36A71661" w14:textId="77777777" w:rsidR="00892E55" w:rsidRPr="00A91E59" w:rsidRDefault="00892E55" w:rsidP="00892E55">
            <w:pPr>
              <w:rPr>
                <w:i/>
                <w:iCs/>
                <w:lang w:val="fr-FR"/>
              </w:rPr>
            </w:pPr>
            <w:r w:rsidRPr="00A91E59">
              <w:rPr>
                <w:i/>
                <w:iCs/>
                <w:lang w:val="fr-FR"/>
              </w:rPr>
              <w:t>Exercice et Questions/Réponses</w:t>
            </w:r>
          </w:p>
          <w:p w14:paraId="0C3FF099" w14:textId="77777777" w:rsidR="00892E55" w:rsidRDefault="00892E55" w:rsidP="00843AF8">
            <w:pPr>
              <w:rPr>
                <w:b/>
                <w:bCs/>
                <w:lang w:val="fr-FR"/>
              </w:rPr>
            </w:pPr>
          </w:p>
        </w:tc>
        <w:tc>
          <w:tcPr>
            <w:tcW w:w="2415" w:type="dxa"/>
            <w:shd w:val="clear" w:color="auto" w:fill="B6DDE8" w:themeFill="accent5" w:themeFillTint="66"/>
          </w:tcPr>
          <w:p w14:paraId="0BFDE67E" w14:textId="0D5C4849" w:rsidR="00892E55" w:rsidRPr="009F7004" w:rsidRDefault="00892E55" w:rsidP="00843AF8">
            <w:pPr>
              <w:jc w:val="right"/>
            </w:pPr>
          </w:p>
        </w:tc>
      </w:tr>
      <w:tr w:rsidR="00892E55" w:rsidRPr="00892E55" w14:paraId="32D575C3" w14:textId="77777777" w:rsidTr="00892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shd w:val="clear" w:color="auto" w:fill="auto"/>
          </w:tcPr>
          <w:p w14:paraId="55ED7F59" w14:textId="032A3045" w:rsidR="00892E55" w:rsidRDefault="00892E55" w:rsidP="00843AF8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12h30-13h</w:t>
            </w:r>
          </w:p>
        </w:tc>
        <w:tc>
          <w:tcPr>
            <w:tcW w:w="6804" w:type="dxa"/>
            <w:shd w:val="clear" w:color="auto" w:fill="auto"/>
          </w:tcPr>
          <w:p w14:paraId="4674CD1F" w14:textId="6442AA71" w:rsidR="00892E55" w:rsidRDefault="00A91E59" w:rsidP="00892E55">
            <w:pPr>
              <w:rPr>
                <w:b/>
                <w:bCs/>
                <w:highlight w:val="yellow"/>
                <w:lang w:val="fr-CH"/>
              </w:rPr>
            </w:pPr>
            <w:r>
              <w:rPr>
                <w:b/>
                <w:bCs/>
                <w:lang w:val="fr-CH"/>
              </w:rPr>
              <w:t>Echange</w:t>
            </w:r>
            <w:r w:rsidR="00892E55">
              <w:rPr>
                <w:b/>
                <w:bCs/>
                <w:lang w:val="fr-CH"/>
              </w:rPr>
              <w:t xml:space="preserve"> et partage d'expérience entre les participants</w:t>
            </w:r>
          </w:p>
          <w:p w14:paraId="07822412" w14:textId="77777777" w:rsidR="00892E55" w:rsidRDefault="00892E55" w:rsidP="00892E55">
            <w:pPr>
              <w:rPr>
                <w:b/>
                <w:bCs/>
                <w:highlight w:val="yellow"/>
                <w:lang w:val="fr-CH"/>
              </w:rPr>
            </w:pPr>
          </w:p>
          <w:p w14:paraId="65AF8EA1" w14:textId="29FF45CD" w:rsidR="00892E55" w:rsidRPr="003E789B" w:rsidRDefault="00892E55" w:rsidP="00892E55">
            <w:pPr>
              <w:rPr>
                <w:b/>
                <w:bCs/>
                <w:lang w:val="fr-CH"/>
              </w:rPr>
            </w:pPr>
            <w:r w:rsidRPr="00892E55">
              <w:rPr>
                <w:b/>
                <w:bCs/>
                <w:lang w:val="fr-CH"/>
              </w:rPr>
              <w:t>Conclusion du programme</w:t>
            </w:r>
          </w:p>
          <w:p w14:paraId="133B6AED" w14:textId="1AFFAA41" w:rsidR="00892E55" w:rsidRDefault="00892E55" w:rsidP="00892E55">
            <w:pPr>
              <w:rPr>
                <w:b/>
                <w:bCs/>
                <w:lang w:val="fr-FR"/>
              </w:rPr>
            </w:pPr>
          </w:p>
        </w:tc>
        <w:tc>
          <w:tcPr>
            <w:tcW w:w="2415" w:type="dxa"/>
            <w:shd w:val="clear" w:color="auto" w:fill="auto"/>
          </w:tcPr>
          <w:p w14:paraId="6981C7A8" w14:textId="1E52AE0D" w:rsidR="00892E55" w:rsidRPr="00892E55" w:rsidRDefault="002B188C" w:rsidP="00843AF8">
            <w:pPr>
              <w:jc w:val="right"/>
              <w:rPr>
                <w:highlight w:val="yellow"/>
                <w:lang w:val="fr-CH"/>
              </w:rPr>
            </w:pPr>
            <w:r>
              <w:rPr>
                <w:highlight w:val="yellow"/>
                <w:lang w:val="fr-CH"/>
              </w:rPr>
              <w:t>XXX</w:t>
            </w:r>
          </w:p>
        </w:tc>
      </w:tr>
    </w:tbl>
    <w:p w14:paraId="5E4F3C1B" w14:textId="4D897DFB" w:rsidR="000258E5" w:rsidRPr="00892E55" w:rsidRDefault="00394221" w:rsidP="003D394D">
      <w:pPr>
        <w:rPr>
          <w:lang w:val="fr-CH" w:eastAsia="en-GB"/>
        </w:rPr>
      </w:pPr>
      <w:r w:rsidRPr="00892E55">
        <w:rPr>
          <w:lang w:val="fr-CH" w:eastAsia="en-GB"/>
        </w:rPr>
        <w:t xml:space="preserve"> </w:t>
      </w:r>
    </w:p>
    <w:p w14:paraId="2EB2EE69" w14:textId="77777777" w:rsidR="00892E55" w:rsidRPr="00892E55" w:rsidRDefault="00892E55" w:rsidP="003D394D">
      <w:pPr>
        <w:rPr>
          <w:lang w:val="fr-CH" w:eastAsia="en-GB"/>
        </w:rPr>
      </w:pPr>
    </w:p>
    <w:sectPr w:rsidR="00892E55" w:rsidRPr="00892E55" w:rsidSect="002A15FB">
      <w:headerReference w:type="default" r:id="rId7"/>
      <w:footerReference w:type="default" r:id="rId8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7D56" w14:textId="77777777" w:rsidR="00652E27" w:rsidRDefault="00652E27" w:rsidP="00ED54E0">
      <w:r>
        <w:separator/>
      </w:r>
    </w:p>
  </w:endnote>
  <w:endnote w:type="continuationSeparator" w:id="0">
    <w:p w14:paraId="77F39AF4" w14:textId="77777777" w:rsidR="00652E27" w:rsidRDefault="00652E2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002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8E16D" w14:textId="55F027A2" w:rsidR="00F810D7" w:rsidRDefault="00F810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B12D2" w14:textId="77777777" w:rsidR="00F810D7" w:rsidRDefault="00F81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D5DD" w14:textId="77777777" w:rsidR="00652E27" w:rsidRDefault="00652E27" w:rsidP="00ED54E0">
      <w:r>
        <w:separator/>
      </w:r>
    </w:p>
  </w:footnote>
  <w:footnote w:type="continuationSeparator" w:id="0">
    <w:p w14:paraId="0260B110" w14:textId="77777777" w:rsidR="00652E27" w:rsidRDefault="00652E27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F769" w14:textId="5D3D4232" w:rsidR="003D394D" w:rsidRPr="00874DC5" w:rsidRDefault="00874DC5">
    <w:pPr>
      <w:pStyle w:val="Header"/>
      <w:rPr>
        <w:lang w:val="fr-FR"/>
      </w:rPr>
    </w:pPr>
    <w:r w:rsidRPr="00C026D8">
      <w:rPr>
        <w:lang w:val="fr-FR"/>
      </w:rPr>
      <w:t>1</w:t>
    </w:r>
    <w:r w:rsidR="00C42911">
      <w:rPr>
        <w:lang w:val="fr-FR"/>
      </w:rPr>
      <w:t>6</w:t>
    </w:r>
    <w:r w:rsidR="00C026D8" w:rsidRPr="00C026D8">
      <w:rPr>
        <w:lang w:val="fr-FR"/>
      </w:rPr>
      <w:t xml:space="preserve"> </w:t>
    </w:r>
    <w:r w:rsidRPr="00C026D8">
      <w:rPr>
        <w:lang w:val="fr-FR"/>
      </w:rPr>
      <w:t>septembre</w:t>
    </w:r>
    <w:r w:rsidR="003D394D" w:rsidRPr="00C026D8">
      <w:rPr>
        <w:lang w:val="fr-FR"/>
      </w:rPr>
      <w:t xml:space="preserve"> 2022</w:t>
    </w:r>
  </w:p>
  <w:p w14:paraId="4F9155D0" w14:textId="77777777" w:rsidR="003D394D" w:rsidRDefault="003D394D">
    <w:pPr>
      <w:pStyle w:val="Header"/>
    </w:pPr>
  </w:p>
  <w:p w14:paraId="44258E8F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B2A0D"/>
    <w:multiLevelType w:val="hybridMultilevel"/>
    <w:tmpl w:val="CAE0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804BD2"/>
    <w:multiLevelType w:val="hybridMultilevel"/>
    <w:tmpl w:val="EEF6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9793F"/>
    <w:multiLevelType w:val="hybridMultilevel"/>
    <w:tmpl w:val="8916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120ED"/>
    <w:multiLevelType w:val="hybridMultilevel"/>
    <w:tmpl w:val="C7C4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CE05D3"/>
    <w:multiLevelType w:val="hybridMultilevel"/>
    <w:tmpl w:val="2D86B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E3F9A"/>
    <w:multiLevelType w:val="hybridMultilevel"/>
    <w:tmpl w:val="5872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06BEB"/>
    <w:multiLevelType w:val="hybridMultilevel"/>
    <w:tmpl w:val="BAC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0" w15:restartNumberingAfterBreak="0">
    <w:nsid w:val="57454AB1"/>
    <w:multiLevelType w:val="multilevel"/>
    <w:tmpl w:val="CC52177C"/>
    <w:numStyleLink w:val="LegalHeadings"/>
  </w:abstractNum>
  <w:abstractNum w:abstractNumId="21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2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3C3B4C"/>
    <w:multiLevelType w:val="hybridMultilevel"/>
    <w:tmpl w:val="3190C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1506A"/>
    <w:multiLevelType w:val="hybridMultilevel"/>
    <w:tmpl w:val="88AEE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A335E"/>
    <w:multiLevelType w:val="hybridMultilevel"/>
    <w:tmpl w:val="C626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20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17"/>
  </w:num>
  <w:num w:numId="22">
    <w:abstractNumId w:val="18"/>
  </w:num>
  <w:num w:numId="23">
    <w:abstractNumId w:val="12"/>
  </w:num>
  <w:num w:numId="24">
    <w:abstractNumId w:val="11"/>
  </w:num>
  <w:num w:numId="25">
    <w:abstractNumId w:val="24"/>
  </w:num>
  <w:num w:numId="26">
    <w:abstractNumId w:val="15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27"/>
    <w:rsid w:val="00007858"/>
    <w:rsid w:val="000106E0"/>
    <w:rsid w:val="000111BB"/>
    <w:rsid w:val="00022C0F"/>
    <w:rsid w:val="00023A8E"/>
    <w:rsid w:val="000258E5"/>
    <w:rsid w:val="000272F6"/>
    <w:rsid w:val="0003478B"/>
    <w:rsid w:val="00037AC4"/>
    <w:rsid w:val="000419E6"/>
    <w:rsid w:val="000423BF"/>
    <w:rsid w:val="00070462"/>
    <w:rsid w:val="00080B7B"/>
    <w:rsid w:val="0008562D"/>
    <w:rsid w:val="000A4945"/>
    <w:rsid w:val="000B10DF"/>
    <w:rsid w:val="000B31E1"/>
    <w:rsid w:val="00104C87"/>
    <w:rsid w:val="00106C52"/>
    <w:rsid w:val="0011356B"/>
    <w:rsid w:val="00120861"/>
    <w:rsid w:val="0013337F"/>
    <w:rsid w:val="001438D7"/>
    <w:rsid w:val="001468E4"/>
    <w:rsid w:val="0016594F"/>
    <w:rsid w:val="00182B84"/>
    <w:rsid w:val="001946F2"/>
    <w:rsid w:val="001D0F5C"/>
    <w:rsid w:val="001D4DF9"/>
    <w:rsid w:val="001E291F"/>
    <w:rsid w:val="001F0700"/>
    <w:rsid w:val="00201907"/>
    <w:rsid w:val="00214531"/>
    <w:rsid w:val="002324C2"/>
    <w:rsid w:val="00233408"/>
    <w:rsid w:val="00237417"/>
    <w:rsid w:val="00266AC5"/>
    <w:rsid w:val="0027067B"/>
    <w:rsid w:val="002860A1"/>
    <w:rsid w:val="0029292F"/>
    <w:rsid w:val="002A15FB"/>
    <w:rsid w:val="002A6940"/>
    <w:rsid w:val="002B188C"/>
    <w:rsid w:val="002B1CEC"/>
    <w:rsid w:val="002B7E75"/>
    <w:rsid w:val="002E048C"/>
    <w:rsid w:val="002E1B45"/>
    <w:rsid w:val="002E249B"/>
    <w:rsid w:val="002E3DE7"/>
    <w:rsid w:val="00304385"/>
    <w:rsid w:val="00311BE2"/>
    <w:rsid w:val="003169CF"/>
    <w:rsid w:val="00320249"/>
    <w:rsid w:val="003572B4"/>
    <w:rsid w:val="003616BF"/>
    <w:rsid w:val="00362282"/>
    <w:rsid w:val="00371F2B"/>
    <w:rsid w:val="00383993"/>
    <w:rsid w:val="00383F10"/>
    <w:rsid w:val="00394221"/>
    <w:rsid w:val="003959CE"/>
    <w:rsid w:val="003B2D82"/>
    <w:rsid w:val="003B7E5A"/>
    <w:rsid w:val="003D394D"/>
    <w:rsid w:val="003D59E3"/>
    <w:rsid w:val="003E1B27"/>
    <w:rsid w:val="003E789B"/>
    <w:rsid w:val="004076FF"/>
    <w:rsid w:val="00416A6C"/>
    <w:rsid w:val="004551EC"/>
    <w:rsid w:val="00467032"/>
    <w:rsid w:val="0046754A"/>
    <w:rsid w:val="004A065A"/>
    <w:rsid w:val="004A31FF"/>
    <w:rsid w:val="004A63F3"/>
    <w:rsid w:val="004B36F1"/>
    <w:rsid w:val="004B6AF8"/>
    <w:rsid w:val="004F203A"/>
    <w:rsid w:val="004F2210"/>
    <w:rsid w:val="004F7724"/>
    <w:rsid w:val="00512FF5"/>
    <w:rsid w:val="00530FF8"/>
    <w:rsid w:val="005336B8"/>
    <w:rsid w:val="0056551E"/>
    <w:rsid w:val="005709F7"/>
    <w:rsid w:val="00580F28"/>
    <w:rsid w:val="005817B7"/>
    <w:rsid w:val="005A434E"/>
    <w:rsid w:val="005B04B9"/>
    <w:rsid w:val="005B3F5C"/>
    <w:rsid w:val="005B68C7"/>
    <w:rsid w:val="005B7054"/>
    <w:rsid w:val="005D0152"/>
    <w:rsid w:val="005D5981"/>
    <w:rsid w:val="005F30CB"/>
    <w:rsid w:val="00612644"/>
    <w:rsid w:val="00621B7F"/>
    <w:rsid w:val="00623EE8"/>
    <w:rsid w:val="00652E27"/>
    <w:rsid w:val="00662D14"/>
    <w:rsid w:val="00674CCD"/>
    <w:rsid w:val="006A18DC"/>
    <w:rsid w:val="006B6C68"/>
    <w:rsid w:val="006C51A7"/>
    <w:rsid w:val="006C7304"/>
    <w:rsid w:val="006D2824"/>
    <w:rsid w:val="006D6742"/>
    <w:rsid w:val="006E3654"/>
    <w:rsid w:val="006F5826"/>
    <w:rsid w:val="00700181"/>
    <w:rsid w:val="007058CB"/>
    <w:rsid w:val="00706717"/>
    <w:rsid w:val="007141CF"/>
    <w:rsid w:val="00723C54"/>
    <w:rsid w:val="00745146"/>
    <w:rsid w:val="0074635B"/>
    <w:rsid w:val="007577E3"/>
    <w:rsid w:val="00760DB3"/>
    <w:rsid w:val="00767204"/>
    <w:rsid w:val="007751BC"/>
    <w:rsid w:val="007A2D53"/>
    <w:rsid w:val="007C0D2D"/>
    <w:rsid w:val="007C3936"/>
    <w:rsid w:val="007C5BB6"/>
    <w:rsid w:val="007C79F0"/>
    <w:rsid w:val="007D2129"/>
    <w:rsid w:val="007D5159"/>
    <w:rsid w:val="007E6507"/>
    <w:rsid w:val="007F2B8E"/>
    <w:rsid w:val="007F2DB0"/>
    <w:rsid w:val="007F2DC6"/>
    <w:rsid w:val="00801CBB"/>
    <w:rsid w:val="00807247"/>
    <w:rsid w:val="00823976"/>
    <w:rsid w:val="00831A1C"/>
    <w:rsid w:val="00831F15"/>
    <w:rsid w:val="00840C2B"/>
    <w:rsid w:val="00843AF8"/>
    <w:rsid w:val="00850889"/>
    <w:rsid w:val="00853015"/>
    <w:rsid w:val="00853907"/>
    <w:rsid w:val="00863B26"/>
    <w:rsid w:val="0087029B"/>
    <w:rsid w:val="008739FD"/>
    <w:rsid w:val="00874DC5"/>
    <w:rsid w:val="00892E55"/>
    <w:rsid w:val="008A7BB6"/>
    <w:rsid w:val="008B7D75"/>
    <w:rsid w:val="008E11A5"/>
    <w:rsid w:val="008E372C"/>
    <w:rsid w:val="008F4EF5"/>
    <w:rsid w:val="00912309"/>
    <w:rsid w:val="00920FD4"/>
    <w:rsid w:val="00924861"/>
    <w:rsid w:val="00947C09"/>
    <w:rsid w:val="009A5EC3"/>
    <w:rsid w:val="009A6F54"/>
    <w:rsid w:val="009A7E67"/>
    <w:rsid w:val="009B0823"/>
    <w:rsid w:val="009C77B8"/>
    <w:rsid w:val="009D2EBF"/>
    <w:rsid w:val="009F7004"/>
    <w:rsid w:val="00A02727"/>
    <w:rsid w:val="00A128BC"/>
    <w:rsid w:val="00A53DCE"/>
    <w:rsid w:val="00A6057A"/>
    <w:rsid w:val="00A608BD"/>
    <w:rsid w:val="00A6787A"/>
    <w:rsid w:val="00A74017"/>
    <w:rsid w:val="00A90414"/>
    <w:rsid w:val="00A91E59"/>
    <w:rsid w:val="00A9435B"/>
    <w:rsid w:val="00A97846"/>
    <w:rsid w:val="00A97A1E"/>
    <w:rsid w:val="00AA332C"/>
    <w:rsid w:val="00AC24C7"/>
    <w:rsid w:val="00AC27F8"/>
    <w:rsid w:val="00AD4C72"/>
    <w:rsid w:val="00AD4D7E"/>
    <w:rsid w:val="00AE20ED"/>
    <w:rsid w:val="00AE2AEE"/>
    <w:rsid w:val="00B1394B"/>
    <w:rsid w:val="00B230EC"/>
    <w:rsid w:val="00B47276"/>
    <w:rsid w:val="00B50DC4"/>
    <w:rsid w:val="00B56EDC"/>
    <w:rsid w:val="00B67C16"/>
    <w:rsid w:val="00BB1F84"/>
    <w:rsid w:val="00BE5468"/>
    <w:rsid w:val="00BF24C9"/>
    <w:rsid w:val="00C026D8"/>
    <w:rsid w:val="00C03E2D"/>
    <w:rsid w:val="00C11EAC"/>
    <w:rsid w:val="00C20158"/>
    <w:rsid w:val="00C305D7"/>
    <w:rsid w:val="00C30F2A"/>
    <w:rsid w:val="00C42911"/>
    <w:rsid w:val="00C43456"/>
    <w:rsid w:val="00C57D4A"/>
    <w:rsid w:val="00C65C0C"/>
    <w:rsid w:val="00C808FC"/>
    <w:rsid w:val="00CA015B"/>
    <w:rsid w:val="00CC5DCA"/>
    <w:rsid w:val="00CD7D97"/>
    <w:rsid w:val="00CE2947"/>
    <w:rsid w:val="00CE3EE6"/>
    <w:rsid w:val="00CE4BA1"/>
    <w:rsid w:val="00D000C7"/>
    <w:rsid w:val="00D52A9D"/>
    <w:rsid w:val="00D55AAD"/>
    <w:rsid w:val="00D62343"/>
    <w:rsid w:val="00D747AE"/>
    <w:rsid w:val="00D75738"/>
    <w:rsid w:val="00D83AF7"/>
    <w:rsid w:val="00D9226C"/>
    <w:rsid w:val="00D9300A"/>
    <w:rsid w:val="00DA20BD"/>
    <w:rsid w:val="00DB3A6C"/>
    <w:rsid w:val="00DD5C26"/>
    <w:rsid w:val="00DE50DB"/>
    <w:rsid w:val="00DF6AE1"/>
    <w:rsid w:val="00E063C1"/>
    <w:rsid w:val="00E46FD5"/>
    <w:rsid w:val="00E544BB"/>
    <w:rsid w:val="00E56545"/>
    <w:rsid w:val="00E81801"/>
    <w:rsid w:val="00E85004"/>
    <w:rsid w:val="00EA5D4F"/>
    <w:rsid w:val="00EB6C56"/>
    <w:rsid w:val="00EB6F21"/>
    <w:rsid w:val="00EC7895"/>
    <w:rsid w:val="00ED009E"/>
    <w:rsid w:val="00ED4653"/>
    <w:rsid w:val="00ED54E0"/>
    <w:rsid w:val="00EE7BF8"/>
    <w:rsid w:val="00F019D5"/>
    <w:rsid w:val="00F01C13"/>
    <w:rsid w:val="00F3064B"/>
    <w:rsid w:val="00F32397"/>
    <w:rsid w:val="00F40595"/>
    <w:rsid w:val="00F810D7"/>
    <w:rsid w:val="00FA5EBC"/>
    <w:rsid w:val="00FD224A"/>
    <w:rsid w:val="00FD4562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96DA5AC"/>
  <w15:chartTrackingRefBased/>
  <w15:docId w15:val="{BF27553D-6F2A-48DE-9E27-6C372BB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Bertola, Elena</dc:creator>
  <cp:keywords/>
  <dc:description/>
  <cp:lastModifiedBy>Brouillaud, Nadine</cp:lastModifiedBy>
  <cp:revision>2</cp:revision>
  <cp:lastPrinted>2022-09-16T11:58:00Z</cp:lastPrinted>
  <dcterms:created xsi:type="dcterms:W3CDTF">2022-09-16T12:02:00Z</dcterms:created>
  <dcterms:modified xsi:type="dcterms:W3CDTF">2022-09-16T12:02:00Z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1bbea101-0953-4aaa-a5fb-19602bc623ee</vt:lpwstr>
  </property>
</Properties>
</file>