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0368D" w14:textId="357D8EF1" w:rsidR="00AD1C33" w:rsidRPr="00E17605" w:rsidRDefault="006B1EDF" w:rsidP="00985323">
      <w:pPr>
        <w:spacing w:before="120" w:after="120"/>
        <w:jc w:val="center"/>
        <w:rPr>
          <w:b/>
          <w:bCs/>
          <w:lang w:val="es-ES"/>
        </w:rPr>
      </w:pPr>
      <w:r w:rsidRPr="00E17605">
        <w:rPr>
          <w:b/>
          <w:bCs/>
          <w:lang w:val="es-ES"/>
        </w:rPr>
        <w:t xml:space="preserve">Taller nacional sobre </w:t>
      </w:r>
      <w:r w:rsidR="006932F7" w:rsidRPr="00E17605">
        <w:rPr>
          <w:b/>
          <w:bCs/>
          <w:lang w:val="es-ES"/>
        </w:rPr>
        <w:t>comercio</w:t>
      </w:r>
      <w:r w:rsidRPr="00E17605">
        <w:rPr>
          <w:b/>
          <w:bCs/>
          <w:lang w:val="es-ES"/>
        </w:rPr>
        <w:t xml:space="preserve"> </w:t>
      </w:r>
      <w:r w:rsidR="006932F7" w:rsidRPr="00E17605">
        <w:rPr>
          <w:b/>
          <w:bCs/>
          <w:lang w:val="es-ES"/>
        </w:rPr>
        <w:t>electrónico</w:t>
      </w:r>
    </w:p>
    <w:p w14:paraId="05C7CCB2" w14:textId="1E493C81" w:rsidR="00AD1C33" w:rsidRPr="00E17605" w:rsidRDefault="00F8445D" w:rsidP="00985323">
      <w:pPr>
        <w:spacing w:before="120" w:after="12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3</w:t>
      </w:r>
      <w:r w:rsidR="000531C4">
        <w:rPr>
          <w:b/>
          <w:bCs/>
          <w:lang w:val="es-ES"/>
        </w:rPr>
        <w:t xml:space="preserve">, 4 y </w:t>
      </w:r>
      <w:r>
        <w:rPr>
          <w:b/>
          <w:bCs/>
          <w:lang w:val="es-ES"/>
        </w:rPr>
        <w:t>5</w:t>
      </w:r>
      <w:r w:rsidR="00AD1C33" w:rsidRPr="00E17605">
        <w:rPr>
          <w:b/>
          <w:bCs/>
          <w:lang w:val="es-ES"/>
        </w:rPr>
        <w:t xml:space="preserve"> de noviembre 2021</w:t>
      </w:r>
    </w:p>
    <w:p w14:paraId="7D198F5D" w14:textId="5AC9AB91" w:rsidR="002B06D7" w:rsidRPr="00E17605" w:rsidRDefault="002B06D7" w:rsidP="00985323">
      <w:pPr>
        <w:spacing w:before="120" w:after="120"/>
        <w:jc w:val="center"/>
        <w:rPr>
          <w:b/>
          <w:bCs/>
          <w:lang w:val="es-ES"/>
        </w:rPr>
      </w:pPr>
      <w:r w:rsidRPr="00E17605">
        <w:rPr>
          <w:b/>
          <w:bCs/>
          <w:lang w:val="es-ES"/>
        </w:rPr>
        <w:t>Programa preliminar</w:t>
      </w:r>
    </w:p>
    <w:p w14:paraId="2677A08B" w14:textId="637FCE75" w:rsidR="00AD1C33" w:rsidRPr="00E17605" w:rsidRDefault="00F8445D" w:rsidP="00985323">
      <w:pPr>
        <w:spacing w:before="120" w:after="120"/>
        <w:jc w:val="left"/>
        <w:rPr>
          <w:b/>
          <w:bCs/>
          <w:lang w:val="es-ES"/>
        </w:rPr>
      </w:pPr>
      <w:r w:rsidRPr="00E17605">
        <w:rPr>
          <w:b/>
          <w:bCs/>
          <w:lang w:val="es-ES"/>
        </w:rPr>
        <w:t>M</w:t>
      </w:r>
      <w:r>
        <w:rPr>
          <w:b/>
          <w:bCs/>
          <w:lang w:val="es-ES"/>
        </w:rPr>
        <w:t>iércoles</w:t>
      </w:r>
      <w:r w:rsidR="00AD1C33" w:rsidRPr="00E17605">
        <w:rPr>
          <w:b/>
          <w:bCs/>
          <w:lang w:val="es-ES"/>
        </w:rPr>
        <w:t xml:space="preserve">, </w:t>
      </w:r>
      <w:r>
        <w:rPr>
          <w:b/>
          <w:bCs/>
          <w:lang w:val="es-ES"/>
        </w:rPr>
        <w:t>3</w:t>
      </w:r>
      <w:r w:rsidR="00AD1C33" w:rsidRPr="00E17605">
        <w:rPr>
          <w:b/>
          <w:bCs/>
          <w:lang w:val="es-ES"/>
        </w:rPr>
        <w:t xml:space="preserve"> de noviembre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7384"/>
      </w:tblGrid>
      <w:tr w:rsidR="002B06D7" w:rsidRPr="00E17605" w14:paraId="7E7DE5F3" w14:textId="77777777" w:rsidTr="002C460C">
        <w:tc>
          <w:tcPr>
            <w:tcW w:w="1632" w:type="dxa"/>
          </w:tcPr>
          <w:p w14:paraId="1597CF6E" w14:textId="02229D68" w:rsidR="002B06D7" w:rsidRPr="00E17605" w:rsidRDefault="002B06D7" w:rsidP="00985323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E17605">
              <w:rPr>
                <w:rFonts w:asciiTheme="minorHAnsi" w:hAnsiTheme="minorHAnsi"/>
                <w:sz w:val="24"/>
                <w:szCs w:val="24"/>
                <w:lang w:val="es-ES"/>
              </w:rPr>
              <w:t>1</w:t>
            </w:r>
            <w:r w:rsidR="00AD1C33" w:rsidRPr="00E17605">
              <w:rPr>
                <w:rFonts w:asciiTheme="minorHAnsi" w:hAnsiTheme="minorHAnsi"/>
                <w:sz w:val="24"/>
                <w:szCs w:val="24"/>
                <w:lang w:val="es-ES"/>
              </w:rPr>
              <w:t>5:30-15:40</w:t>
            </w:r>
          </w:p>
        </w:tc>
        <w:tc>
          <w:tcPr>
            <w:tcW w:w="7384" w:type="dxa"/>
          </w:tcPr>
          <w:p w14:paraId="0A33F9B5" w14:textId="09E7E363" w:rsidR="002B06D7" w:rsidRPr="00E17605" w:rsidRDefault="002B06D7" w:rsidP="00985323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E17605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Sesión de a</w:t>
            </w:r>
            <w:r w:rsidR="00466A7D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p</w:t>
            </w:r>
            <w:r w:rsidRPr="00E17605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ertura </w:t>
            </w:r>
          </w:p>
          <w:p w14:paraId="34320887" w14:textId="36751F55" w:rsidR="002B06D7" w:rsidRPr="00E17605" w:rsidRDefault="002B06D7" w:rsidP="00985323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E17605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Palabras de bienvenida </w:t>
            </w:r>
          </w:p>
        </w:tc>
      </w:tr>
      <w:tr w:rsidR="002B06D7" w:rsidRPr="000531C4" w14:paraId="371AD09A" w14:textId="77777777" w:rsidTr="002C460C">
        <w:tc>
          <w:tcPr>
            <w:tcW w:w="1632" w:type="dxa"/>
          </w:tcPr>
          <w:p w14:paraId="3EEBA359" w14:textId="07C1CF57" w:rsidR="002B06D7" w:rsidRPr="00E17605" w:rsidRDefault="00AD1C33" w:rsidP="00985323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E17605">
              <w:rPr>
                <w:rFonts w:asciiTheme="minorHAnsi" w:hAnsiTheme="minorHAnsi"/>
                <w:sz w:val="24"/>
                <w:szCs w:val="24"/>
                <w:lang w:val="es-ES"/>
              </w:rPr>
              <w:t>15:40 – 17:30</w:t>
            </w:r>
          </w:p>
        </w:tc>
        <w:tc>
          <w:tcPr>
            <w:tcW w:w="7384" w:type="dxa"/>
          </w:tcPr>
          <w:p w14:paraId="70E661C6" w14:textId="388BE4CD" w:rsidR="002B06D7" w:rsidRPr="00E17605" w:rsidRDefault="002B06D7" w:rsidP="00985323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E17605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El comercio electrónico en la OMC – visión general</w:t>
            </w:r>
            <w:r w:rsidRPr="00E17605">
              <w:rPr>
                <w:rFonts w:asciiTheme="minorHAnsi" w:hAnsiTheme="minorHAnsi"/>
                <w:bCs/>
                <w:color w:val="4F81BD" w:themeColor="accent1"/>
                <w:sz w:val="24"/>
                <w:szCs w:val="24"/>
                <w:lang w:val="es-ES"/>
              </w:rPr>
              <w:t xml:space="preserve"> </w:t>
            </w:r>
          </w:p>
          <w:p w14:paraId="66ED4271" w14:textId="200B12CD" w:rsidR="002B06D7" w:rsidRPr="00E17605" w:rsidRDefault="002B06D7" w:rsidP="00985323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E17605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En esta sesión se examinará la historia y la evolución de las discusiones sobre comercio electrónico en la OMC, </w:t>
            </w:r>
            <w:r w:rsidR="00F22B41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tanto en el marco del </w:t>
            </w:r>
            <w:r w:rsidRPr="00E17605">
              <w:rPr>
                <w:rFonts w:asciiTheme="minorHAnsi" w:hAnsiTheme="minorHAnsi"/>
                <w:sz w:val="24"/>
                <w:szCs w:val="24"/>
                <w:lang w:val="es-ES"/>
              </w:rPr>
              <w:t>Programa de Trabajo</w:t>
            </w:r>
            <w:r w:rsidR="007B60B1" w:rsidRPr="00E17605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</w:t>
            </w:r>
            <w:r w:rsidR="00F22B41" w:rsidRPr="00E17605">
              <w:rPr>
                <w:rFonts w:asciiTheme="minorHAnsi" w:hAnsiTheme="minorHAnsi"/>
                <w:sz w:val="24"/>
                <w:szCs w:val="24"/>
                <w:lang w:val="es-ES"/>
              </w:rPr>
              <w:t>sobre Comercio Electrónico</w:t>
            </w:r>
            <w:r w:rsidR="00F22B41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como en </w:t>
            </w:r>
            <w:r w:rsidR="007B60B1" w:rsidRPr="00E17605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el ámbito de la Declaración Conjunta. </w:t>
            </w:r>
            <w:r w:rsidR="0098219B" w:rsidRPr="00E17605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Se </w:t>
            </w:r>
            <w:r w:rsidR="008B7AA5" w:rsidRPr="00E17605">
              <w:rPr>
                <w:rFonts w:asciiTheme="minorHAnsi" w:hAnsiTheme="minorHAnsi"/>
                <w:sz w:val="24"/>
                <w:szCs w:val="24"/>
                <w:lang w:val="es-ES"/>
              </w:rPr>
              <w:t>dará</w:t>
            </w:r>
            <w:r w:rsidR="0098219B" w:rsidRPr="00E17605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también una visión general de los temas planteados</w:t>
            </w:r>
            <w:r w:rsidR="00484523" w:rsidRPr="00E17605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, </w:t>
            </w:r>
            <w:r w:rsidR="008B7AA5" w:rsidRPr="00E17605">
              <w:rPr>
                <w:rFonts w:asciiTheme="minorHAnsi" w:hAnsiTheme="minorHAnsi"/>
                <w:sz w:val="24"/>
                <w:szCs w:val="24"/>
                <w:lang w:val="es-ES"/>
              </w:rPr>
              <w:t>de los procesos institucionales</w:t>
            </w:r>
            <w:r w:rsidR="00484523" w:rsidRPr="00E17605">
              <w:rPr>
                <w:rFonts w:asciiTheme="minorHAnsi" w:hAnsiTheme="minorHAnsi"/>
                <w:sz w:val="24"/>
                <w:szCs w:val="24"/>
                <w:lang w:val="es-ES"/>
              </w:rPr>
              <w:t>, y de los principales desafíos</w:t>
            </w:r>
            <w:r w:rsidR="008B7AA5" w:rsidRPr="00E17605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. </w:t>
            </w:r>
          </w:p>
        </w:tc>
      </w:tr>
    </w:tbl>
    <w:p w14:paraId="392A59C7" w14:textId="502949C2" w:rsidR="00985323" w:rsidRPr="00E17605" w:rsidRDefault="00F8445D" w:rsidP="00E17605">
      <w:pPr>
        <w:spacing w:before="120" w:after="120"/>
        <w:jc w:val="left"/>
        <w:rPr>
          <w:b/>
          <w:bCs/>
          <w:lang w:val="es-ES"/>
        </w:rPr>
      </w:pPr>
      <w:r>
        <w:rPr>
          <w:b/>
          <w:bCs/>
          <w:lang w:val="es-ES"/>
        </w:rPr>
        <w:t>Jueves</w:t>
      </w:r>
      <w:r w:rsidR="00985323" w:rsidRPr="00E17605">
        <w:rPr>
          <w:b/>
          <w:bCs/>
          <w:lang w:val="es-ES"/>
        </w:rPr>
        <w:t xml:space="preserve">, </w:t>
      </w:r>
      <w:r>
        <w:rPr>
          <w:b/>
          <w:bCs/>
          <w:lang w:val="es-ES"/>
        </w:rPr>
        <w:t>4</w:t>
      </w:r>
      <w:r w:rsidR="00985323" w:rsidRPr="00E17605">
        <w:rPr>
          <w:b/>
          <w:bCs/>
          <w:lang w:val="es-ES"/>
        </w:rPr>
        <w:t xml:space="preserve"> de noviembre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7384"/>
      </w:tblGrid>
      <w:tr w:rsidR="002B06D7" w:rsidRPr="000531C4" w14:paraId="577B479F" w14:textId="77777777" w:rsidTr="002C460C">
        <w:tc>
          <w:tcPr>
            <w:tcW w:w="1632" w:type="dxa"/>
          </w:tcPr>
          <w:p w14:paraId="1C07F6D2" w14:textId="43CCB4FA" w:rsidR="002B06D7" w:rsidRPr="00E17605" w:rsidRDefault="00985323" w:rsidP="00985323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E17605">
              <w:rPr>
                <w:rFonts w:asciiTheme="minorHAnsi" w:hAnsiTheme="minorHAnsi"/>
                <w:sz w:val="24"/>
                <w:szCs w:val="24"/>
                <w:lang w:val="es-ES"/>
              </w:rPr>
              <w:t>15:30 – 1</w:t>
            </w:r>
            <w:r w:rsidR="007241A4">
              <w:rPr>
                <w:rFonts w:asciiTheme="minorHAnsi" w:hAnsiTheme="minorHAnsi"/>
                <w:sz w:val="24"/>
                <w:szCs w:val="24"/>
                <w:lang w:val="es-ES"/>
              </w:rPr>
              <w:t>7</w:t>
            </w:r>
            <w:r w:rsidRPr="00E17605">
              <w:rPr>
                <w:rFonts w:asciiTheme="minorHAnsi" w:hAnsiTheme="minorHAnsi"/>
                <w:sz w:val="24"/>
                <w:szCs w:val="24"/>
                <w:lang w:val="es-ES"/>
              </w:rPr>
              <w:t>:</w:t>
            </w:r>
            <w:r w:rsidR="007241A4">
              <w:rPr>
                <w:rFonts w:asciiTheme="minorHAnsi" w:hAnsiTheme="minorHAnsi"/>
                <w:sz w:val="24"/>
                <w:szCs w:val="24"/>
                <w:lang w:val="es-ES"/>
              </w:rPr>
              <w:t>3</w:t>
            </w:r>
            <w:r w:rsidRPr="00E17605">
              <w:rPr>
                <w:rFonts w:asciiTheme="minorHAnsi" w:hAnsiTheme="minorHAnsi"/>
                <w:sz w:val="24"/>
                <w:szCs w:val="24"/>
                <w:lang w:val="es-ES"/>
              </w:rPr>
              <w:t>0</w:t>
            </w:r>
          </w:p>
        </w:tc>
        <w:tc>
          <w:tcPr>
            <w:tcW w:w="7384" w:type="dxa"/>
          </w:tcPr>
          <w:p w14:paraId="78949B38" w14:textId="64D3CC23" w:rsidR="002B06D7" w:rsidRPr="00E17605" w:rsidRDefault="0098219B" w:rsidP="00985323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E17605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Sesi</w:t>
            </w:r>
            <w:r w:rsidR="004608DE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ó</w:t>
            </w:r>
            <w:r w:rsidRPr="00E17605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n temática</w:t>
            </w:r>
          </w:p>
          <w:p w14:paraId="3CDBA390" w14:textId="5FE8477C" w:rsidR="002B06D7" w:rsidRPr="00E17605" w:rsidRDefault="002B06D7" w:rsidP="00985323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E17605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En esta sesión se </w:t>
            </w:r>
            <w:r w:rsidR="0098219B" w:rsidRPr="00E17605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examinará </w:t>
            </w:r>
            <w:r w:rsidR="00466A7D">
              <w:rPr>
                <w:rFonts w:asciiTheme="minorHAnsi" w:hAnsiTheme="minorHAnsi"/>
                <w:sz w:val="24"/>
                <w:szCs w:val="24"/>
                <w:lang w:val="es-ES"/>
              </w:rPr>
              <w:t>con</w:t>
            </w:r>
            <w:r w:rsidR="00466A7D" w:rsidRPr="00E17605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</w:t>
            </w:r>
            <w:r w:rsidR="0098219B" w:rsidRPr="00E17605">
              <w:rPr>
                <w:rFonts w:asciiTheme="minorHAnsi" w:hAnsiTheme="minorHAnsi"/>
                <w:sz w:val="24"/>
                <w:szCs w:val="24"/>
                <w:lang w:val="es-ES"/>
              </w:rPr>
              <w:t>más detalle</w:t>
            </w:r>
            <w:r w:rsidRPr="00E17605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</w:t>
            </w:r>
            <w:r w:rsidR="0098219B" w:rsidRPr="00E17605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los temas </w:t>
            </w:r>
            <w:r w:rsidR="004A63C7">
              <w:rPr>
                <w:rFonts w:asciiTheme="minorHAnsi" w:hAnsiTheme="minorHAnsi"/>
                <w:sz w:val="24"/>
                <w:szCs w:val="24"/>
                <w:lang w:val="es-ES"/>
              </w:rPr>
              <w:t>principales</w:t>
            </w:r>
            <w:r w:rsidR="0098219B" w:rsidRPr="00E17605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en el </w:t>
            </w:r>
            <w:r w:rsidR="00FA1433">
              <w:rPr>
                <w:rFonts w:asciiTheme="minorHAnsi" w:hAnsiTheme="minorHAnsi"/>
                <w:sz w:val="24"/>
                <w:szCs w:val="24"/>
                <w:lang w:val="es-ES"/>
              </w:rPr>
              <w:t>ámbito</w:t>
            </w:r>
            <w:r w:rsidR="0098219B" w:rsidRPr="00E17605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de las discusiones sobre comercio electrónico</w:t>
            </w:r>
            <w:r w:rsidR="00B07564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</w:t>
            </w:r>
            <w:r w:rsidR="00706E43">
              <w:rPr>
                <w:rFonts w:asciiTheme="minorHAnsi" w:hAnsiTheme="minorHAnsi"/>
                <w:sz w:val="24"/>
                <w:szCs w:val="24"/>
                <w:lang w:val="es-ES"/>
              </w:rPr>
              <w:t>en la OMC</w:t>
            </w:r>
            <w:r w:rsidR="0098219B" w:rsidRPr="00E17605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. </w:t>
            </w:r>
            <w:r w:rsidR="007F0134" w:rsidRPr="00E17605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Se </w:t>
            </w:r>
            <w:r w:rsidR="00E6016D">
              <w:rPr>
                <w:rFonts w:asciiTheme="minorHAnsi" w:hAnsiTheme="minorHAnsi"/>
                <w:sz w:val="24"/>
                <w:szCs w:val="24"/>
                <w:lang w:val="es-ES"/>
              </w:rPr>
              <w:t>presenta</w:t>
            </w:r>
            <w:r w:rsidR="007F0134" w:rsidRPr="00E17605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rán </w:t>
            </w:r>
            <w:r w:rsidR="004A63C7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las cuestiones planteadas por los miembros, así como </w:t>
            </w:r>
            <w:r w:rsidR="007F0134" w:rsidRPr="00E17605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los textos </w:t>
            </w:r>
            <w:r w:rsidR="004A63C7">
              <w:rPr>
                <w:rFonts w:asciiTheme="minorHAnsi" w:hAnsiTheme="minorHAnsi"/>
                <w:sz w:val="24"/>
                <w:szCs w:val="24"/>
                <w:lang w:val="es-ES"/>
              </w:rPr>
              <w:t>en</w:t>
            </w:r>
            <w:r w:rsidR="007F0134" w:rsidRPr="00E17605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negociación. </w:t>
            </w:r>
          </w:p>
          <w:p w14:paraId="5BFAA1F2" w14:textId="11D0F9A7" w:rsidR="00985323" w:rsidRPr="00E17605" w:rsidRDefault="00B43BDB" w:rsidP="007F0134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</w:pPr>
            <w:r w:rsidRPr="00E17605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Derechos de aduana a las transmisiones electrónicas (moratoria)</w:t>
            </w:r>
          </w:p>
          <w:p w14:paraId="0F77129A" w14:textId="77777777" w:rsidR="00070CF4" w:rsidRPr="00E17605" w:rsidRDefault="009A0360" w:rsidP="00070CF4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</w:pPr>
            <w:r w:rsidRPr="00E17605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Comercio sin papel</w:t>
            </w:r>
          </w:p>
          <w:p w14:paraId="59E83320" w14:textId="77777777" w:rsidR="00070CF4" w:rsidRPr="00E17605" w:rsidRDefault="00E713CC" w:rsidP="00070CF4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</w:pPr>
            <w:r w:rsidRPr="00E17605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Autenticación electrónica y firmas electrónicas, contratos electrónicos</w:t>
            </w:r>
          </w:p>
          <w:p w14:paraId="74ED87AF" w14:textId="3218ABF6" w:rsidR="00070CF4" w:rsidRPr="007241A4" w:rsidRDefault="00E17605" w:rsidP="007241A4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</w:pPr>
            <w:r w:rsidRPr="00E17605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Acceso a los mercados para los servicios y para las mercancías</w:t>
            </w:r>
          </w:p>
        </w:tc>
      </w:tr>
    </w:tbl>
    <w:p w14:paraId="18B1A9DA" w14:textId="76A4F4E6" w:rsidR="00070CF4" w:rsidRPr="00E17605" w:rsidRDefault="00F8445D" w:rsidP="00070CF4">
      <w:pPr>
        <w:spacing w:before="120" w:after="120"/>
        <w:rPr>
          <w:b/>
          <w:bCs/>
          <w:lang w:val="es-ES"/>
        </w:rPr>
      </w:pPr>
      <w:r>
        <w:rPr>
          <w:b/>
          <w:bCs/>
          <w:lang w:val="es-ES"/>
        </w:rPr>
        <w:t>Viernes</w:t>
      </w:r>
      <w:r w:rsidR="00070CF4" w:rsidRPr="00E17605">
        <w:rPr>
          <w:b/>
          <w:bCs/>
          <w:lang w:val="es-ES"/>
        </w:rPr>
        <w:t xml:space="preserve">, </w:t>
      </w:r>
      <w:r>
        <w:rPr>
          <w:b/>
          <w:bCs/>
          <w:lang w:val="es-ES"/>
        </w:rPr>
        <w:t>5</w:t>
      </w:r>
      <w:r w:rsidR="00070CF4" w:rsidRPr="00E17605">
        <w:rPr>
          <w:b/>
          <w:bCs/>
          <w:lang w:val="es-ES"/>
        </w:rPr>
        <w:t xml:space="preserve"> de noviembre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7384"/>
      </w:tblGrid>
      <w:tr w:rsidR="00070CF4" w:rsidRPr="000531C4" w14:paraId="0821FA27" w14:textId="77777777" w:rsidTr="002C460C">
        <w:tc>
          <w:tcPr>
            <w:tcW w:w="1632" w:type="dxa"/>
          </w:tcPr>
          <w:p w14:paraId="68546295" w14:textId="61ADF9E7" w:rsidR="00070CF4" w:rsidRPr="00E17605" w:rsidRDefault="00070CF4" w:rsidP="00985323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E17605">
              <w:rPr>
                <w:rFonts w:asciiTheme="minorHAnsi" w:hAnsiTheme="minorHAnsi"/>
                <w:sz w:val="24"/>
                <w:szCs w:val="24"/>
                <w:lang w:val="es-ES"/>
              </w:rPr>
              <w:t>15:30-1</w:t>
            </w:r>
            <w:r w:rsidR="007241A4">
              <w:rPr>
                <w:rFonts w:asciiTheme="minorHAnsi" w:hAnsiTheme="minorHAnsi"/>
                <w:sz w:val="24"/>
                <w:szCs w:val="24"/>
                <w:lang w:val="es-ES"/>
              </w:rPr>
              <w:t>7</w:t>
            </w:r>
            <w:r w:rsidRPr="00E17605">
              <w:rPr>
                <w:rFonts w:asciiTheme="minorHAnsi" w:hAnsiTheme="minorHAnsi"/>
                <w:sz w:val="24"/>
                <w:szCs w:val="24"/>
                <w:lang w:val="es-ES"/>
              </w:rPr>
              <w:t>:</w:t>
            </w:r>
            <w:r w:rsidR="007241A4">
              <w:rPr>
                <w:rFonts w:asciiTheme="minorHAnsi" w:hAnsiTheme="minorHAnsi"/>
                <w:sz w:val="24"/>
                <w:szCs w:val="24"/>
                <w:lang w:val="es-ES"/>
              </w:rPr>
              <w:t>3</w:t>
            </w:r>
            <w:r w:rsidRPr="00E17605">
              <w:rPr>
                <w:rFonts w:asciiTheme="minorHAnsi" w:hAnsiTheme="minorHAnsi"/>
                <w:sz w:val="24"/>
                <w:szCs w:val="24"/>
                <w:lang w:val="es-ES"/>
              </w:rPr>
              <w:t>0</w:t>
            </w:r>
          </w:p>
        </w:tc>
        <w:tc>
          <w:tcPr>
            <w:tcW w:w="7384" w:type="dxa"/>
          </w:tcPr>
          <w:p w14:paraId="10E12E56" w14:textId="42DFD4DF" w:rsidR="00FF4831" w:rsidRPr="00FF4831" w:rsidRDefault="00FF4831" w:rsidP="00FF4831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Sesi</w:t>
            </w:r>
            <w:r w:rsidR="004608DE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ón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 xml:space="preserve"> temática (cont.)</w:t>
            </w:r>
          </w:p>
          <w:p w14:paraId="0BCF57AF" w14:textId="12F30A5C" w:rsidR="00070CF4" w:rsidRPr="007241A4" w:rsidRDefault="007241A4" w:rsidP="007241A4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F</w:t>
            </w:r>
            <w:r w:rsidR="00070CF4" w:rsidRPr="007241A4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lujos transfronterizos de datos y ubicación de las instalaciones informáticas</w:t>
            </w:r>
          </w:p>
          <w:p w14:paraId="2C638D39" w14:textId="77777777" w:rsidR="00070CF4" w:rsidRPr="00E17605" w:rsidRDefault="00070CF4" w:rsidP="00070CF4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</w:pPr>
            <w:r w:rsidRPr="00E17605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Datos gubernamentales abiertos y acceso abierto a Internet</w:t>
            </w:r>
          </w:p>
          <w:p w14:paraId="1F9F6970" w14:textId="77777777" w:rsidR="00E17605" w:rsidRPr="00E17605" w:rsidRDefault="00E17605" w:rsidP="00E17605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</w:pPr>
            <w:r w:rsidRPr="00E17605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Confianza y comercio electrónico</w:t>
            </w:r>
            <w:r w:rsidRPr="00E17605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</w:t>
            </w:r>
          </w:p>
          <w:p w14:paraId="419CB4B8" w14:textId="77777777" w:rsidR="00E17605" w:rsidRPr="00E17605" w:rsidRDefault="00E17605" w:rsidP="00E17605">
            <w:pPr>
              <w:pStyle w:val="ListParagraph"/>
              <w:numPr>
                <w:ilvl w:val="1"/>
                <w:numId w:val="21"/>
              </w:num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</w:pPr>
            <w:r w:rsidRPr="00E17605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 xml:space="preserve">protección de los consumidores en línea </w:t>
            </w:r>
          </w:p>
          <w:p w14:paraId="2DE270EB" w14:textId="77777777" w:rsidR="00E17605" w:rsidRDefault="00E17605" w:rsidP="00E17605">
            <w:pPr>
              <w:pStyle w:val="ListParagraph"/>
              <w:numPr>
                <w:ilvl w:val="1"/>
                <w:numId w:val="21"/>
              </w:num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</w:pPr>
            <w:r w:rsidRPr="00E17605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mensajes electrónicos comerciales no solicitados</w:t>
            </w:r>
          </w:p>
          <w:p w14:paraId="6034F5AD" w14:textId="77777777" w:rsidR="00E17605" w:rsidRDefault="00E17605" w:rsidP="00E17605">
            <w:pPr>
              <w:pStyle w:val="ListParagraph"/>
              <w:numPr>
                <w:ilvl w:val="1"/>
                <w:numId w:val="21"/>
              </w:num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</w:pPr>
            <w:r w:rsidRPr="00E17605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 xml:space="preserve">código fuente </w:t>
            </w:r>
          </w:p>
          <w:p w14:paraId="0856E1D2" w14:textId="6312B84B" w:rsidR="00070CF4" w:rsidRPr="00E17605" w:rsidRDefault="00070CF4" w:rsidP="00E17605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</w:pPr>
            <w:r w:rsidRPr="00E17605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Cuestiones transversales: transparencia, cooperación y creación de capacidad</w:t>
            </w:r>
          </w:p>
        </w:tc>
      </w:tr>
      <w:tr w:rsidR="002B06D7" w:rsidRPr="00E17605" w14:paraId="482FCE63" w14:textId="77777777" w:rsidTr="002C460C">
        <w:tc>
          <w:tcPr>
            <w:tcW w:w="1632" w:type="dxa"/>
          </w:tcPr>
          <w:p w14:paraId="2F779320" w14:textId="67AE9A87" w:rsidR="002B06D7" w:rsidRPr="00E17605" w:rsidRDefault="00BE03CA" w:rsidP="00985323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E17605">
              <w:rPr>
                <w:rFonts w:asciiTheme="minorHAnsi" w:hAnsiTheme="minorHAnsi"/>
                <w:sz w:val="24"/>
                <w:szCs w:val="24"/>
                <w:lang w:val="es-ES"/>
              </w:rPr>
              <w:t>1</w:t>
            </w:r>
            <w:r w:rsidR="007241A4">
              <w:rPr>
                <w:rFonts w:asciiTheme="minorHAnsi" w:hAnsiTheme="minorHAnsi"/>
                <w:sz w:val="24"/>
                <w:szCs w:val="24"/>
                <w:lang w:val="es-ES"/>
              </w:rPr>
              <w:t>7</w:t>
            </w:r>
            <w:r w:rsidRPr="00E17605">
              <w:rPr>
                <w:rFonts w:asciiTheme="minorHAnsi" w:hAnsiTheme="minorHAnsi"/>
                <w:sz w:val="24"/>
                <w:szCs w:val="24"/>
                <w:lang w:val="es-ES"/>
              </w:rPr>
              <w:t>:</w:t>
            </w:r>
            <w:r w:rsidR="007241A4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30 </w:t>
            </w:r>
            <w:r w:rsidRPr="00E17605">
              <w:rPr>
                <w:rFonts w:asciiTheme="minorHAnsi" w:hAnsiTheme="minorHAnsi"/>
                <w:sz w:val="24"/>
                <w:szCs w:val="24"/>
                <w:lang w:val="es-ES"/>
              </w:rPr>
              <w:t>-</w:t>
            </w:r>
            <w:r w:rsidR="007241A4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</w:t>
            </w:r>
            <w:r w:rsidRPr="00E17605">
              <w:rPr>
                <w:rFonts w:asciiTheme="minorHAnsi" w:hAnsiTheme="minorHAnsi"/>
                <w:sz w:val="24"/>
                <w:szCs w:val="24"/>
                <w:lang w:val="es-ES"/>
              </w:rPr>
              <w:t>1</w:t>
            </w:r>
            <w:r w:rsidR="007241A4">
              <w:rPr>
                <w:rFonts w:asciiTheme="minorHAnsi" w:hAnsiTheme="minorHAnsi"/>
                <w:sz w:val="24"/>
                <w:szCs w:val="24"/>
                <w:lang w:val="es-ES"/>
              </w:rPr>
              <w:t>7</w:t>
            </w:r>
            <w:r w:rsidRPr="00E17605">
              <w:rPr>
                <w:rFonts w:asciiTheme="minorHAnsi" w:hAnsiTheme="minorHAnsi"/>
                <w:sz w:val="24"/>
                <w:szCs w:val="24"/>
                <w:lang w:val="es-ES"/>
              </w:rPr>
              <w:t>:</w:t>
            </w:r>
            <w:r w:rsidR="007241A4">
              <w:rPr>
                <w:rFonts w:asciiTheme="minorHAnsi" w:hAnsiTheme="minorHAnsi"/>
                <w:sz w:val="24"/>
                <w:szCs w:val="24"/>
                <w:lang w:val="es-ES"/>
              </w:rPr>
              <w:t>4</w:t>
            </w:r>
            <w:r w:rsidRPr="00E17605">
              <w:rPr>
                <w:rFonts w:asciiTheme="minorHAnsi" w:hAnsiTheme="minorHAnsi"/>
                <w:sz w:val="24"/>
                <w:szCs w:val="24"/>
                <w:lang w:val="es-ES"/>
              </w:rPr>
              <w:t>5</w:t>
            </w:r>
          </w:p>
        </w:tc>
        <w:tc>
          <w:tcPr>
            <w:tcW w:w="7384" w:type="dxa"/>
          </w:tcPr>
          <w:p w14:paraId="60C46F3C" w14:textId="77777777" w:rsidR="002B06D7" w:rsidRDefault="002B06D7" w:rsidP="00985323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</w:pPr>
            <w:r w:rsidRPr="00E17605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Sesión de clausura</w:t>
            </w:r>
          </w:p>
          <w:p w14:paraId="48F05D15" w14:textId="43A4B5D2" w:rsidR="00405564" w:rsidRPr="00F22B41" w:rsidRDefault="00405564" w:rsidP="00F22B41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sz w:val="24"/>
                <w:szCs w:val="24"/>
                <w:lang w:val="es-ES"/>
              </w:rPr>
              <w:t>Breve recapitulación</w:t>
            </w:r>
          </w:p>
        </w:tc>
      </w:tr>
    </w:tbl>
    <w:p w14:paraId="7B8EFE1A" w14:textId="77777777" w:rsidR="002B06D7" w:rsidRPr="00E17605" w:rsidRDefault="002B06D7" w:rsidP="00985323">
      <w:pPr>
        <w:spacing w:before="120" w:after="120"/>
        <w:rPr>
          <w:b/>
          <w:bCs/>
          <w:lang w:val="es-ES"/>
        </w:rPr>
      </w:pPr>
    </w:p>
    <w:sectPr w:rsidR="002B06D7" w:rsidRPr="00E17605" w:rsidSect="002A15FB">
      <w:headerReference w:type="default" r:id="rId7"/>
      <w:footerReference w:type="default" r:id="rId8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27CF5" w14:textId="77777777" w:rsidR="006B1EDF" w:rsidRDefault="006B1EDF" w:rsidP="00ED54E0">
      <w:r>
        <w:separator/>
      </w:r>
    </w:p>
  </w:endnote>
  <w:endnote w:type="continuationSeparator" w:id="0">
    <w:p w14:paraId="7822E996" w14:textId="77777777" w:rsidR="006B1EDF" w:rsidRDefault="006B1EDF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6941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F9FB8" w14:textId="6FDCC0D9" w:rsidR="00E17605" w:rsidRDefault="00E176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6B9A23" w14:textId="77777777" w:rsidR="00E17605" w:rsidRDefault="00E17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8C2FA" w14:textId="77777777" w:rsidR="006B1EDF" w:rsidRDefault="006B1EDF" w:rsidP="00ED54E0">
      <w:r>
        <w:separator/>
      </w:r>
    </w:p>
  </w:footnote>
  <w:footnote w:type="continuationSeparator" w:id="0">
    <w:p w14:paraId="0C41047C" w14:textId="77777777" w:rsidR="006B1EDF" w:rsidRDefault="006B1EDF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6FF4C" w14:textId="77777777" w:rsidR="006932F7" w:rsidRDefault="006932F7">
    <w:pPr>
      <w:pStyle w:val="Header"/>
    </w:pPr>
    <w:r>
      <w:t xml:space="preserve">DRAFT </w:t>
    </w:r>
  </w:p>
  <w:p w14:paraId="2C86368D" w14:textId="798EEDA5" w:rsidR="00A6787A" w:rsidRDefault="006932F7">
    <w:pPr>
      <w:pStyle w:val="Header"/>
    </w:pPr>
    <w:r>
      <w:t>0</w:t>
    </w:r>
    <w:r w:rsidR="00AB61F2">
      <w:t>6</w:t>
    </w:r>
    <w:r>
      <w:t>.09.2021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F0849"/>
    <w:multiLevelType w:val="hybridMultilevel"/>
    <w:tmpl w:val="D748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C226D"/>
    <w:multiLevelType w:val="hybridMultilevel"/>
    <w:tmpl w:val="DC8E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CC52177C"/>
    <w:numStyleLink w:val="LegalHeadings"/>
  </w:abstractNum>
  <w:abstractNum w:abstractNumId="16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D703C5"/>
    <w:multiLevelType w:val="hybridMultilevel"/>
    <w:tmpl w:val="AEC89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6C6B33"/>
    <w:multiLevelType w:val="hybridMultilevel"/>
    <w:tmpl w:val="57B4F014"/>
    <w:lvl w:ilvl="0" w:tplc="B636C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DF"/>
    <w:rsid w:val="000106E0"/>
    <w:rsid w:val="000111BB"/>
    <w:rsid w:val="00022C0F"/>
    <w:rsid w:val="000272F6"/>
    <w:rsid w:val="00037AC4"/>
    <w:rsid w:val="000423BF"/>
    <w:rsid w:val="000531C4"/>
    <w:rsid w:val="000536F0"/>
    <w:rsid w:val="00070CF4"/>
    <w:rsid w:val="000A4945"/>
    <w:rsid w:val="000B31E1"/>
    <w:rsid w:val="000B4EE5"/>
    <w:rsid w:val="0011356B"/>
    <w:rsid w:val="0013337F"/>
    <w:rsid w:val="00182B84"/>
    <w:rsid w:val="001946F2"/>
    <w:rsid w:val="001D0F5C"/>
    <w:rsid w:val="001E291F"/>
    <w:rsid w:val="00233408"/>
    <w:rsid w:val="00237417"/>
    <w:rsid w:val="0027067B"/>
    <w:rsid w:val="002A15FB"/>
    <w:rsid w:val="002A6940"/>
    <w:rsid w:val="002B06D7"/>
    <w:rsid w:val="002E249B"/>
    <w:rsid w:val="00304385"/>
    <w:rsid w:val="00311BE2"/>
    <w:rsid w:val="00320249"/>
    <w:rsid w:val="003572B4"/>
    <w:rsid w:val="003616BF"/>
    <w:rsid w:val="00371F2B"/>
    <w:rsid w:val="003818AB"/>
    <w:rsid w:val="00383F10"/>
    <w:rsid w:val="00405564"/>
    <w:rsid w:val="004551EC"/>
    <w:rsid w:val="004608DE"/>
    <w:rsid w:val="00466A7D"/>
    <w:rsid w:val="00467032"/>
    <w:rsid w:val="0046754A"/>
    <w:rsid w:val="00484523"/>
    <w:rsid w:val="004A31FF"/>
    <w:rsid w:val="004A63C7"/>
    <w:rsid w:val="004F203A"/>
    <w:rsid w:val="00512FF5"/>
    <w:rsid w:val="005336B8"/>
    <w:rsid w:val="005B04B9"/>
    <w:rsid w:val="005B68C7"/>
    <w:rsid w:val="005B7054"/>
    <w:rsid w:val="005D0152"/>
    <w:rsid w:val="005D5981"/>
    <w:rsid w:val="005F30CB"/>
    <w:rsid w:val="00612644"/>
    <w:rsid w:val="00645934"/>
    <w:rsid w:val="00674CCD"/>
    <w:rsid w:val="006932F7"/>
    <w:rsid w:val="006A18DC"/>
    <w:rsid w:val="006B1EDF"/>
    <w:rsid w:val="006C7314"/>
    <w:rsid w:val="006D6742"/>
    <w:rsid w:val="006E3654"/>
    <w:rsid w:val="006F5826"/>
    <w:rsid w:val="00700181"/>
    <w:rsid w:val="00701156"/>
    <w:rsid w:val="00706E43"/>
    <w:rsid w:val="007141CF"/>
    <w:rsid w:val="007241A4"/>
    <w:rsid w:val="00741B9C"/>
    <w:rsid w:val="00745146"/>
    <w:rsid w:val="0074635B"/>
    <w:rsid w:val="00756C7F"/>
    <w:rsid w:val="007577E3"/>
    <w:rsid w:val="00760DB3"/>
    <w:rsid w:val="00767204"/>
    <w:rsid w:val="007B60B1"/>
    <w:rsid w:val="007C3936"/>
    <w:rsid w:val="007C79F0"/>
    <w:rsid w:val="007E6507"/>
    <w:rsid w:val="007F0134"/>
    <w:rsid w:val="007F17DB"/>
    <w:rsid w:val="007F2B8E"/>
    <w:rsid w:val="007F2DB0"/>
    <w:rsid w:val="00801CBB"/>
    <w:rsid w:val="00807247"/>
    <w:rsid w:val="0081276A"/>
    <w:rsid w:val="00840C2B"/>
    <w:rsid w:val="00850889"/>
    <w:rsid w:val="008739FD"/>
    <w:rsid w:val="008A7BB6"/>
    <w:rsid w:val="008B7AA5"/>
    <w:rsid w:val="008E372C"/>
    <w:rsid w:val="00920FD4"/>
    <w:rsid w:val="00947C09"/>
    <w:rsid w:val="0098219B"/>
    <w:rsid w:val="00985323"/>
    <w:rsid w:val="009A0360"/>
    <w:rsid w:val="009A6F54"/>
    <w:rsid w:val="009A7E67"/>
    <w:rsid w:val="009B0823"/>
    <w:rsid w:val="00A53DCE"/>
    <w:rsid w:val="00A56A35"/>
    <w:rsid w:val="00A6057A"/>
    <w:rsid w:val="00A6787A"/>
    <w:rsid w:val="00A74017"/>
    <w:rsid w:val="00A95EA3"/>
    <w:rsid w:val="00A97A1E"/>
    <w:rsid w:val="00AA332C"/>
    <w:rsid w:val="00AB61F2"/>
    <w:rsid w:val="00AC24C7"/>
    <w:rsid w:val="00AC27F8"/>
    <w:rsid w:val="00AD1C33"/>
    <w:rsid w:val="00AD4C72"/>
    <w:rsid w:val="00AE20ED"/>
    <w:rsid w:val="00AE2AEE"/>
    <w:rsid w:val="00B05DD9"/>
    <w:rsid w:val="00B07564"/>
    <w:rsid w:val="00B1394B"/>
    <w:rsid w:val="00B230EC"/>
    <w:rsid w:val="00B43BDB"/>
    <w:rsid w:val="00B50DC4"/>
    <w:rsid w:val="00B56EDC"/>
    <w:rsid w:val="00B67C16"/>
    <w:rsid w:val="00B71D6F"/>
    <w:rsid w:val="00B82DCA"/>
    <w:rsid w:val="00BB1F84"/>
    <w:rsid w:val="00BE03CA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17605"/>
    <w:rsid w:val="00E46FD5"/>
    <w:rsid w:val="00E544BB"/>
    <w:rsid w:val="00E56545"/>
    <w:rsid w:val="00E6016D"/>
    <w:rsid w:val="00E713CC"/>
    <w:rsid w:val="00E85004"/>
    <w:rsid w:val="00EA5D4F"/>
    <w:rsid w:val="00EB6C56"/>
    <w:rsid w:val="00EB6F21"/>
    <w:rsid w:val="00ED2E1B"/>
    <w:rsid w:val="00ED35D8"/>
    <w:rsid w:val="00ED54E0"/>
    <w:rsid w:val="00F01C13"/>
    <w:rsid w:val="00F22B41"/>
    <w:rsid w:val="00F32397"/>
    <w:rsid w:val="00F40595"/>
    <w:rsid w:val="00F8445D"/>
    <w:rsid w:val="00FA1433"/>
    <w:rsid w:val="00FA5EBC"/>
    <w:rsid w:val="00FD224A"/>
    <w:rsid w:val="00FD6CF3"/>
    <w:rsid w:val="00FD79BF"/>
    <w:rsid w:val="00FF4616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7F2082"/>
  <w15:chartTrackingRefBased/>
  <w15:docId w15:val="{08441965-57FB-4F09-A765-CAD756E7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93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992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92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81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Gallo, Stefania</dc:creator>
  <cp:keywords/>
  <dc:description/>
  <cp:lastModifiedBy>Gallo, Stefania</cp:lastModifiedBy>
  <cp:revision>5</cp:revision>
  <dcterms:created xsi:type="dcterms:W3CDTF">2021-10-01T08:21:00Z</dcterms:created>
  <dcterms:modified xsi:type="dcterms:W3CDTF">2021-10-07T13:27:00Z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710da06e-7846-4422-a019-b2357dbe9d16</vt:lpwstr>
  </property>
</Properties>
</file>