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E9266" w14:textId="427F3022" w:rsidR="00763E11" w:rsidRDefault="006538BD" w:rsidP="006538BD">
      <w:pPr>
        <w:pStyle w:val="Title"/>
      </w:pPr>
      <w:bookmarkStart w:id="0" w:name="_Hlk73030092"/>
      <w:r w:rsidRPr="002E0268">
        <w:t xml:space="preserve">sps committee </w:t>
      </w:r>
      <w:r>
        <w:t>Workshop</w:t>
      </w:r>
      <w:r w:rsidRPr="002E0268">
        <w:t xml:space="preserve"> on </w:t>
      </w:r>
      <w:r>
        <w:t>risk Analysis:</w:t>
      </w:r>
    </w:p>
    <w:p w14:paraId="6DB19001" w14:textId="329127BF" w:rsidR="006538BD" w:rsidRPr="002E0268" w:rsidRDefault="006538BD" w:rsidP="006538BD">
      <w:pPr>
        <w:pStyle w:val="Title"/>
      </w:pPr>
      <w:r>
        <w:t>risk assessment, risk management, and risk communication</w:t>
      </w:r>
    </w:p>
    <w:p w14:paraId="4FEE7045" w14:textId="77777777" w:rsidR="006538BD" w:rsidRDefault="006538BD" w:rsidP="006538BD">
      <w:pPr>
        <w:pStyle w:val="Title"/>
      </w:pPr>
    </w:p>
    <w:p w14:paraId="0955F54A" w14:textId="77777777" w:rsidR="006538BD" w:rsidRPr="003C3370" w:rsidRDefault="006538BD" w:rsidP="006538BD">
      <w:pPr>
        <w:pStyle w:val="Title"/>
      </w:pPr>
      <w:r>
        <w:t>Monday, 12 JuLY – Tuesday</w:t>
      </w:r>
      <w:r w:rsidRPr="003C3370">
        <w:t>, 13 JuLY 2021</w:t>
      </w:r>
    </w:p>
    <w:p w14:paraId="41AFD2C7" w14:textId="77777777" w:rsidR="006538BD" w:rsidRDefault="006538BD" w:rsidP="006538BD">
      <w:pPr>
        <w:pStyle w:val="Title"/>
      </w:pPr>
    </w:p>
    <w:p w14:paraId="1135ED4B" w14:textId="061F8B7F" w:rsidR="006538BD" w:rsidRPr="003C3370" w:rsidRDefault="006538BD" w:rsidP="006538BD">
      <w:pPr>
        <w:pStyle w:val="Title"/>
      </w:pPr>
      <w:r w:rsidRPr="003C3370">
        <w:t>WTO, CENTRE WILLIAM RAPPARD, GeNEVA</w:t>
      </w:r>
    </w:p>
    <w:p w14:paraId="5CDD1748" w14:textId="77777777" w:rsidR="006538BD" w:rsidRPr="007829E0" w:rsidRDefault="006538BD" w:rsidP="006538BD">
      <w:pPr>
        <w:pStyle w:val="Title"/>
      </w:pPr>
      <w:r w:rsidRPr="003C3370">
        <w:t xml:space="preserve">Participation via </w:t>
      </w:r>
      <w:r w:rsidRPr="007829E0">
        <w:t>Zoom</w:t>
      </w:r>
    </w:p>
    <w:p w14:paraId="28D31879" w14:textId="77777777" w:rsidR="006538BD" w:rsidRPr="001A340F" w:rsidRDefault="006538BD" w:rsidP="006538BD">
      <w:pPr>
        <w:pStyle w:val="Title3"/>
      </w:pPr>
      <w:r w:rsidRPr="00AF1AC7">
        <w:t>Note by the Secretariat</w:t>
      </w:r>
      <w:r w:rsidRPr="00AF1AC7">
        <w:rPr>
          <w:rStyle w:val="FootnoteReference"/>
        </w:rPr>
        <w:footnoteReference w:id="1"/>
      </w:r>
    </w:p>
    <w:p w14:paraId="455EA256" w14:textId="77777777" w:rsidR="006538BD" w:rsidRPr="00C33362" w:rsidRDefault="006538BD" w:rsidP="006538BD">
      <w:pPr>
        <w:pStyle w:val="Title2"/>
      </w:pPr>
      <w:bookmarkStart w:id="1" w:name="_Hlk13496629"/>
      <w:r w:rsidRPr="00637D9E">
        <w:t>PROGRAMM</w:t>
      </w:r>
      <w:r>
        <w:t>E</w:t>
      </w:r>
    </w:p>
    <w:p w14:paraId="5A86A8EA" w14:textId="20ED0865" w:rsidR="006538BD" w:rsidRDefault="006538BD" w:rsidP="006538BD">
      <w:pPr>
        <w:spacing w:after="240"/>
      </w:pPr>
      <w:r>
        <w:t>T</w:t>
      </w:r>
      <w:r w:rsidRPr="00A34AF0">
        <w:t xml:space="preserve">he </w:t>
      </w:r>
      <w:r>
        <w:t xml:space="preserve">SPS </w:t>
      </w:r>
      <w:r w:rsidRPr="00A34AF0">
        <w:t xml:space="preserve">Committee </w:t>
      </w:r>
      <w:r>
        <w:t xml:space="preserve">agreed to hold </w:t>
      </w:r>
      <w:r w:rsidRPr="00A34AF0">
        <w:t xml:space="preserve">a </w:t>
      </w:r>
      <w:r>
        <w:t>w</w:t>
      </w:r>
      <w:r w:rsidRPr="00A34AF0">
        <w:t xml:space="preserve">orkshop on risk assessment, </w:t>
      </w:r>
      <w:r>
        <w:t xml:space="preserve">risk </w:t>
      </w:r>
      <w:r w:rsidRPr="00A34AF0">
        <w:t xml:space="preserve">management, and </w:t>
      </w:r>
      <w:r>
        <w:t xml:space="preserve">risk </w:t>
      </w:r>
      <w:r w:rsidRPr="00A34AF0">
        <w:t xml:space="preserve">communication </w:t>
      </w:r>
      <w:r>
        <w:t>at the</w:t>
      </w:r>
      <w:r w:rsidRPr="00A34AF0">
        <w:t xml:space="preserve"> </w:t>
      </w:r>
      <w:r>
        <w:t xml:space="preserve">margins of the July </w:t>
      </w:r>
      <w:r w:rsidRPr="00A34AF0">
        <w:t>202</w:t>
      </w:r>
      <w:r>
        <w:t xml:space="preserve">1 Committee meeting, based on a proposal submitted by Canada in the context of the Fifth Review </w:t>
      </w:r>
      <w:r w:rsidRPr="00A34AF0">
        <w:t xml:space="preserve">of the Operation and Implementation of the </w:t>
      </w:r>
      <w:r>
        <w:t>SPS</w:t>
      </w:r>
      <w:r w:rsidR="0094229D">
        <w:t> </w:t>
      </w:r>
      <w:r w:rsidRPr="004B15BE">
        <w:rPr>
          <w:iCs/>
        </w:rPr>
        <w:t>Agreement</w:t>
      </w:r>
      <w:r>
        <w:t>.</w:t>
      </w:r>
    </w:p>
    <w:p w14:paraId="7B0AF385" w14:textId="7FBE7418" w:rsidR="006538BD" w:rsidRPr="00A34AF0" w:rsidRDefault="006538BD" w:rsidP="006538BD">
      <w:pPr>
        <w:spacing w:after="240"/>
      </w:pPr>
      <w:r>
        <w:t xml:space="preserve">The workshop </w:t>
      </w:r>
      <w:r w:rsidRPr="00A34AF0">
        <w:t>will focus on risk assessment, risk management, and risk communication</w:t>
      </w:r>
      <w:r>
        <w:t xml:space="preserve">, </w:t>
      </w:r>
      <w:r w:rsidRPr="00A34AF0">
        <w:t>build</w:t>
      </w:r>
      <w:r>
        <w:t>ing</w:t>
      </w:r>
      <w:r w:rsidRPr="00A34AF0">
        <w:t xml:space="preserve"> on</w:t>
      </w:r>
      <w:r>
        <w:t xml:space="preserve"> </w:t>
      </w:r>
      <w:r w:rsidRPr="00A34AF0">
        <w:t>the Thematic SPS</w:t>
      </w:r>
      <w:r>
        <w:t> </w:t>
      </w:r>
      <w:r w:rsidRPr="00A34AF0">
        <w:t xml:space="preserve">Workshop on </w:t>
      </w:r>
      <w:r>
        <w:t>R</w:t>
      </w:r>
      <w:r w:rsidRPr="00A34AF0">
        <w:t xml:space="preserve">isk </w:t>
      </w:r>
      <w:r>
        <w:t>A</w:t>
      </w:r>
      <w:r w:rsidRPr="00A34AF0">
        <w:t>nalysis, held on 13-14 October 2014; and the SPS Thematic Session on Risk Communication, held on 15 July 2015.</w:t>
      </w:r>
    </w:p>
    <w:p w14:paraId="6E2D1F56" w14:textId="69B1C9DD" w:rsidR="006538BD" w:rsidRPr="009920C1" w:rsidRDefault="006538BD" w:rsidP="006538BD">
      <w:pPr>
        <w:spacing w:after="240"/>
      </w:pPr>
      <w:r w:rsidRPr="00A34AF0">
        <w:t xml:space="preserve">The </w:t>
      </w:r>
      <w:r>
        <w:t>workshop</w:t>
      </w:r>
      <w:r w:rsidRPr="00A34AF0">
        <w:t xml:space="preserve"> will be held in Geneva, Switzerland,</w:t>
      </w:r>
      <w:r>
        <w:t xml:space="preserve"> </w:t>
      </w:r>
      <w:r w:rsidRPr="00A34AF0">
        <w:t xml:space="preserve">on </w:t>
      </w:r>
      <w:r>
        <w:t>12-13 July</w:t>
      </w:r>
      <w:r w:rsidRPr="00A34AF0">
        <w:t xml:space="preserve"> 202</w:t>
      </w:r>
      <w:r>
        <w:t>1</w:t>
      </w:r>
      <w:r w:rsidRPr="00A34AF0">
        <w:t xml:space="preserve">, beginning at </w:t>
      </w:r>
      <w:r w:rsidRPr="00A34AF0">
        <w:rPr>
          <w:u w:val="single"/>
        </w:rPr>
        <w:t>10 a</w:t>
      </w:r>
      <w:r w:rsidR="0094229D">
        <w:rPr>
          <w:u w:val="single"/>
        </w:rPr>
        <w:t>.</w:t>
      </w:r>
      <w:r w:rsidRPr="00A34AF0">
        <w:rPr>
          <w:u w:val="single"/>
        </w:rPr>
        <w:t>m</w:t>
      </w:r>
      <w:r w:rsidR="0094229D">
        <w:rPr>
          <w:u w:val="single"/>
        </w:rPr>
        <w:t>.</w:t>
      </w:r>
      <w:r w:rsidRPr="00FB1E46">
        <w:t xml:space="preserve"> CEST</w:t>
      </w:r>
      <w:r w:rsidRPr="00A34AF0">
        <w:t>.</w:t>
      </w:r>
      <w:r>
        <w:t xml:space="preserve"> The workshop will also be accessible virtually on Zoom. Interpretation in the three official languages will be available. The video recording will be made available on the WTO website after the workshop.</w:t>
      </w:r>
    </w:p>
    <w:p w14:paraId="54182758" w14:textId="4878AB2A" w:rsidR="006538BD" w:rsidRPr="00CF608C" w:rsidRDefault="006538BD" w:rsidP="006538BD">
      <w:pPr>
        <w:spacing w:after="240"/>
      </w:pPr>
      <w:r>
        <w:t xml:space="preserve">A dedicated website will be made available on the WTO SPS gateway, with relevant information on the workshop and useful resources on risk analysis. Participants will be invited to familiarise themselves with the tools and resources made available. In particular, participants who may not be familiar with risk assessment </w:t>
      </w:r>
      <w:r w:rsidR="009B2362">
        <w:t>are</w:t>
      </w:r>
      <w:r>
        <w:t xml:space="preserve"> encouraged to complete the WTO eLearning module on risk assessment and</w:t>
      </w:r>
      <w:r w:rsidR="009B2362">
        <w:t>/or</w:t>
      </w:r>
      <w:r>
        <w:t xml:space="preserve"> review other available materials on risk assessment in advance of the workshop.</w:t>
      </w:r>
    </w:p>
    <w:p w14:paraId="3DAA339C" w14:textId="2D7B5DC1" w:rsidR="006538BD" w:rsidRDefault="006538BD" w:rsidP="001A3DB8">
      <w:pPr>
        <w:pStyle w:val="BodyText"/>
        <w:numPr>
          <w:ilvl w:val="0"/>
          <w:numId w:val="0"/>
        </w:numPr>
        <w:rPr>
          <w:lang w:eastAsia="en-GB"/>
        </w:rPr>
      </w:pPr>
      <w:r w:rsidRPr="00D51212">
        <w:rPr>
          <w:lang w:eastAsia="en-GB"/>
        </w:rPr>
        <w:t xml:space="preserve">The Secretariat </w:t>
      </w:r>
      <w:r>
        <w:rPr>
          <w:lang w:eastAsia="en-GB"/>
        </w:rPr>
        <w:t>is</w:t>
      </w:r>
      <w:r w:rsidRPr="00D51212">
        <w:rPr>
          <w:lang w:eastAsia="en-GB"/>
        </w:rPr>
        <w:t xml:space="preserve"> circulat</w:t>
      </w:r>
      <w:r>
        <w:rPr>
          <w:lang w:eastAsia="en-GB"/>
        </w:rPr>
        <w:t>ing</w:t>
      </w:r>
      <w:r w:rsidRPr="00D51212">
        <w:rPr>
          <w:lang w:eastAsia="en-GB"/>
        </w:rPr>
        <w:t xml:space="preserve"> </w:t>
      </w:r>
      <w:r>
        <w:rPr>
          <w:lang w:eastAsia="en-GB"/>
        </w:rPr>
        <w:t>this</w:t>
      </w:r>
      <w:r w:rsidRPr="00115DE0">
        <w:rPr>
          <w:lang w:eastAsia="en-GB"/>
        </w:rPr>
        <w:t xml:space="preserve"> revised version of the programme</w:t>
      </w:r>
      <w:r>
        <w:rPr>
          <w:rStyle w:val="FootnoteReference"/>
          <w:lang w:eastAsia="en-GB"/>
        </w:rPr>
        <w:footnoteReference w:id="2"/>
      </w:r>
      <w:r>
        <w:rPr>
          <w:lang w:eastAsia="en-GB"/>
        </w:rPr>
        <w:t xml:space="preserve"> </w:t>
      </w:r>
      <w:r w:rsidRPr="00D51212">
        <w:rPr>
          <w:lang w:eastAsia="en-GB"/>
        </w:rPr>
        <w:t>after taking into consideration comments received</w:t>
      </w:r>
      <w:r>
        <w:rPr>
          <w:lang w:eastAsia="en-GB"/>
        </w:rPr>
        <w:t xml:space="preserve"> by the deadline of 23 April 2021</w:t>
      </w:r>
      <w:r w:rsidRPr="00D51212">
        <w:rPr>
          <w:lang w:eastAsia="en-GB"/>
        </w:rPr>
        <w:t>.</w:t>
      </w:r>
      <w:r>
        <w:rPr>
          <w:lang w:eastAsia="en-GB"/>
        </w:rPr>
        <w:t xml:space="preserve"> Members are invited to submit additional comments</w:t>
      </w:r>
      <w:r w:rsidRPr="001A0BDD">
        <w:rPr>
          <w:lang w:eastAsia="en-GB"/>
        </w:rPr>
        <w:t xml:space="preserve"> </w:t>
      </w:r>
      <w:r>
        <w:rPr>
          <w:lang w:eastAsia="en-GB"/>
        </w:rPr>
        <w:t>and</w:t>
      </w:r>
      <w:r w:rsidRPr="001A0BDD">
        <w:rPr>
          <w:lang w:eastAsia="en-GB"/>
        </w:rPr>
        <w:t xml:space="preserve"> </w:t>
      </w:r>
      <w:r>
        <w:rPr>
          <w:lang w:eastAsia="en-GB"/>
        </w:rPr>
        <w:t xml:space="preserve">suggest speakers by </w:t>
      </w:r>
      <w:bookmarkStart w:id="2" w:name="_Hlk73120440"/>
      <w:r w:rsidR="001A3DB8" w:rsidRPr="00B5476A">
        <w:rPr>
          <w:b/>
          <w:bCs/>
          <w:lang w:eastAsia="en-GB"/>
        </w:rPr>
        <w:t>Monday, 7 June 2021</w:t>
      </w:r>
      <w:bookmarkEnd w:id="2"/>
      <w:r w:rsidRPr="00B5476A">
        <w:rPr>
          <w:lang w:eastAsia="en-GB"/>
        </w:rPr>
        <w:t>.</w:t>
      </w:r>
    </w:p>
    <w:p w14:paraId="458ABCF1" w14:textId="77777777" w:rsidR="006538BD" w:rsidRPr="00F555B6" w:rsidRDefault="006538BD" w:rsidP="006538BD">
      <w:pPr>
        <w:jc w:val="center"/>
        <w:rPr>
          <w:b/>
        </w:rPr>
      </w:pPr>
      <w:r w:rsidRPr="00F555B6">
        <w:rPr>
          <w:b/>
        </w:rPr>
        <w:t>_______________</w:t>
      </w:r>
    </w:p>
    <w:p w14:paraId="767F3826" w14:textId="77777777" w:rsidR="006538BD" w:rsidRDefault="006538BD" w:rsidP="006538BD">
      <w:pPr>
        <w:rPr>
          <w:highlight w:val="yellow"/>
        </w:rPr>
      </w:pPr>
    </w:p>
    <w:p w14:paraId="0999F867" w14:textId="77777777" w:rsidR="006538BD" w:rsidRPr="00CF608C" w:rsidRDefault="006538BD" w:rsidP="001A3DB8">
      <w:pPr>
        <w:pStyle w:val="BodyText"/>
        <w:numPr>
          <w:ilvl w:val="0"/>
          <w:numId w:val="0"/>
        </w:numPr>
      </w:pPr>
    </w:p>
    <w:p w14:paraId="72DB3ECA" w14:textId="77777777" w:rsidR="006538BD" w:rsidRDefault="006538BD" w:rsidP="006538BD">
      <w:pPr>
        <w:spacing w:after="200" w:line="276" w:lineRule="auto"/>
        <w:jc w:val="left"/>
        <w:rPr>
          <w:b/>
          <w:i/>
          <w:lang w:eastAsia="en-GB"/>
        </w:rPr>
      </w:pPr>
      <w:r>
        <w:rPr>
          <w:b/>
          <w:i/>
          <w:lang w:eastAsia="en-GB"/>
        </w:rPr>
        <w:br w:type="page"/>
      </w:r>
    </w:p>
    <w:p w14:paraId="6004AE23" w14:textId="024B7269" w:rsidR="006538BD" w:rsidRPr="009A5B01" w:rsidRDefault="006538BD" w:rsidP="006538BD">
      <w:pPr>
        <w:spacing w:before="360" w:after="240"/>
        <w:rPr>
          <w:lang w:eastAsia="en-GB"/>
        </w:rPr>
      </w:pPr>
      <w:r w:rsidRPr="00C65A3C">
        <w:rPr>
          <w:b/>
          <w:i/>
          <w:lang w:eastAsia="en-GB"/>
        </w:rPr>
        <w:lastRenderedPageBreak/>
        <w:t>Chairperson</w:t>
      </w:r>
      <w:r w:rsidRPr="003944D2">
        <w:rPr>
          <w:b/>
          <w:bCs/>
          <w:lang w:eastAsia="en-GB"/>
        </w:rPr>
        <w:t>:</w:t>
      </w:r>
      <w:r w:rsidRPr="00C65A3C">
        <w:rPr>
          <w:lang w:eastAsia="en-GB"/>
        </w:rPr>
        <w:t xml:space="preserve"> </w:t>
      </w:r>
      <w:r w:rsidRPr="009A5B01">
        <w:rPr>
          <w:lang w:eastAsia="en-GB"/>
        </w:rPr>
        <w:t>Mr Gregory McDonald, Chairperson of the SPS Committee</w:t>
      </w:r>
    </w:p>
    <w:p w14:paraId="2E995E24" w14:textId="77777777" w:rsidR="006538BD" w:rsidRPr="005F5C20" w:rsidRDefault="006538BD" w:rsidP="001A3DB8">
      <w:pPr>
        <w:pStyle w:val="Title"/>
        <w:spacing w:after="360"/>
      </w:pPr>
      <w:r>
        <w:t>Monday 12 July 2021</w:t>
      </w:r>
    </w:p>
    <w:p w14:paraId="4CBD545C" w14:textId="77777777" w:rsidR="006538BD" w:rsidRPr="008E36E6" w:rsidRDefault="006538BD" w:rsidP="001A3DB8">
      <w:pPr>
        <w:pStyle w:val="Heading1"/>
        <w:numPr>
          <w:ilvl w:val="0"/>
          <w:numId w:val="16"/>
        </w:numPr>
        <w:rPr>
          <w:lang w:eastAsia="en-GB"/>
        </w:rPr>
      </w:pPr>
      <w:r>
        <w:rPr>
          <w:lang w:eastAsia="en-GB"/>
        </w:rPr>
        <w:t>Opening session (10:00 – 10:30)</w:t>
      </w:r>
    </w:p>
    <w:p w14:paraId="165A19A0" w14:textId="62E149B5" w:rsidR="006538BD" w:rsidRDefault="006538BD" w:rsidP="001A3DB8">
      <w:pPr>
        <w:pStyle w:val="Heading2"/>
        <w:numPr>
          <w:ilvl w:val="1"/>
          <w:numId w:val="16"/>
        </w:numPr>
      </w:pPr>
      <w:r>
        <w:t>Opening remarks</w:t>
      </w:r>
    </w:p>
    <w:p w14:paraId="1995DE8D" w14:textId="2370DB7F" w:rsidR="006538BD" w:rsidRPr="008E36E6" w:rsidRDefault="006538BD" w:rsidP="001A3DB8">
      <w:pPr>
        <w:spacing w:before="240" w:after="240"/>
        <w:ind w:left="284"/>
        <w:rPr>
          <w:lang w:eastAsia="en-GB"/>
        </w:rPr>
      </w:pPr>
      <w:r w:rsidRPr="008E36E6">
        <w:rPr>
          <w:b/>
        </w:rPr>
        <w:t>Speaker:</w:t>
      </w:r>
      <w:r w:rsidRPr="00A34AF0">
        <w:t xml:space="preserve"> </w:t>
      </w:r>
      <w:r w:rsidRPr="00190476">
        <w:rPr>
          <w:b/>
          <w:bCs/>
          <w:lang w:eastAsia="en-GB"/>
        </w:rPr>
        <w:t>Mr Gregory McDonald</w:t>
      </w:r>
      <w:r w:rsidRPr="00190476">
        <w:rPr>
          <w:lang w:eastAsia="en-GB"/>
        </w:rPr>
        <w:t>, Chairperson of the SPS Committee</w:t>
      </w:r>
    </w:p>
    <w:p w14:paraId="25878F61" w14:textId="77777777" w:rsidR="006538BD" w:rsidRPr="002212C9" w:rsidRDefault="006538BD" w:rsidP="001A3DB8">
      <w:pPr>
        <w:pStyle w:val="Heading2"/>
        <w:numPr>
          <w:ilvl w:val="1"/>
          <w:numId w:val="16"/>
        </w:numPr>
      </w:pPr>
      <w:r w:rsidRPr="002212C9">
        <w:t>Workshop overview and objectives</w:t>
      </w:r>
      <w:r>
        <w:t xml:space="preserve"> </w:t>
      </w:r>
    </w:p>
    <w:p w14:paraId="5C945301" w14:textId="59658557" w:rsidR="006538BD" w:rsidRPr="002212C9" w:rsidRDefault="006538BD" w:rsidP="001A3DB8">
      <w:pPr>
        <w:spacing w:before="240" w:after="240"/>
      </w:pPr>
      <w:r>
        <w:t>Overview</w:t>
      </w:r>
      <w:r w:rsidRPr="002212C9">
        <w:t xml:space="preserve"> of the workshop and its objectives.</w:t>
      </w:r>
      <w:r>
        <w:t xml:space="preserve"> T</w:t>
      </w:r>
      <w:r w:rsidRPr="002212C9">
        <w:t xml:space="preserve">his session will </w:t>
      </w:r>
      <w:r>
        <w:t>also</w:t>
      </w:r>
      <w:r w:rsidRPr="002212C9">
        <w:t xml:space="preserve"> review</w:t>
      </w:r>
      <w:r>
        <w:t xml:space="preserve"> basic concepts of risk assessment and look at risk assessment developments over the years</w:t>
      </w:r>
      <w:r w:rsidRPr="002212C9">
        <w:t>.</w:t>
      </w:r>
    </w:p>
    <w:p w14:paraId="4141343D" w14:textId="77D59FEF" w:rsidR="006538BD" w:rsidRPr="008E36E6" w:rsidRDefault="006538BD" w:rsidP="003C54B5">
      <w:pPr>
        <w:spacing w:before="240" w:after="120"/>
        <w:ind w:left="284"/>
      </w:pPr>
      <w:r w:rsidRPr="008E36E6">
        <w:rPr>
          <w:b/>
        </w:rPr>
        <w:t>Speakers:</w:t>
      </w:r>
    </w:p>
    <w:p w14:paraId="7D7DF10E" w14:textId="3B25F0CB" w:rsidR="006538BD" w:rsidRDefault="006538BD" w:rsidP="003C54B5">
      <w:pPr>
        <w:numPr>
          <w:ilvl w:val="0"/>
          <w:numId w:val="17"/>
        </w:numPr>
        <w:spacing w:after="120"/>
        <w:ind w:left="630" w:hanging="346"/>
        <w:rPr>
          <w:b/>
          <w:bCs/>
          <w:i/>
          <w:iCs/>
        </w:rPr>
      </w:pPr>
      <w:r w:rsidRPr="00A34AF0">
        <w:t>WTO Secretariat</w:t>
      </w:r>
      <w:r w:rsidRPr="002212C9">
        <w:t xml:space="preserve">, </w:t>
      </w:r>
      <w:r w:rsidRPr="002212C9">
        <w:rPr>
          <w:i/>
          <w:iCs/>
        </w:rPr>
        <w:t>Overview of the workshop and its objectives</w:t>
      </w:r>
    </w:p>
    <w:p w14:paraId="6395B1AD" w14:textId="3993743D" w:rsidR="006538BD" w:rsidRPr="008E36E6" w:rsidRDefault="006538BD" w:rsidP="001A3DB8">
      <w:pPr>
        <w:numPr>
          <w:ilvl w:val="0"/>
          <w:numId w:val="17"/>
        </w:numPr>
        <w:spacing w:after="240"/>
        <w:ind w:left="630" w:hanging="346"/>
      </w:pPr>
      <w:r w:rsidRPr="00EE03C3">
        <w:t xml:space="preserve">Video </w:t>
      </w:r>
      <w:r w:rsidR="00B5476A" w:rsidRPr="00763E11">
        <w:rPr>
          <w:i/>
          <w:iCs/>
        </w:rPr>
        <w:t>(</w:t>
      </w:r>
      <w:r w:rsidRPr="00763E11">
        <w:rPr>
          <w:i/>
          <w:iCs/>
        </w:rPr>
        <w:t>TBC</w:t>
      </w:r>
      <w:r w:rsidR="00471B96" w:rsidRPr="00763E11">
        <w:rPr>
          <w:i/>
          <w:iCs/>
        </w:rPr>
        <w:t>)</w:t>
      </w:r>
      <w:r w:rsidRPr="00EE03C3">
        <w:t>,</w:t>
      </w:r>
      <w:r w:rsidRPr="002212C9">
        <w:rPr>
          <w:i/>
          <w:iCs/>
        </w:rPr>
        <w:t xml:space="preserve"> </w:t>
      </w:r>
      <w:r>
        <w:rPr>
          <w:i/>
          <w:iCs/>
        </w:rPr>
        <w:t>Risk analysis over the years</w:t>
      </w:r>
    </w:p>
    <w:p w14:paraId="00CE22FA" w14:textId="77777777" w:rsidR="006538BD" w:rsidRPr="002212C9" w:rsidRDefault="006538BD" w:rsidP="001A3DB8">
      <w:pPr>
        <w:pStyle w:val="Heading2"/>
        <w:numPr>
          <w:ilvl w:val="1"/>
          <w:numId w:val="16"/>
        </w:numPr>
      </w:pPr>
      <w:r w:rsidRPr="0079285B">
        <w:t>What the SPS Agreement says</w:t>
      </w:r>
      <w:r w:rsidRPr="002212C9">
        <w:t xml:space="preserve"> about risk </w:t>
      </w:r>
      <w:r>
        <w:t>assessment, risk management, and risk communication</w:t>
      </w:r>
    </w:p>
    <w:p w14:paraId="7F207E39" w14:textId="77777777" w:rsidR="006538BD" w:rsidRPr="00A34AF0" w:rsidRDefault="006538BD" w:rsidP="001A3DB8">
      <w:pPr>
        <w:spacing w:before="240" w:after="240"/>
        <w:rPr>
          <w:b/>
        </w:rPr>
      </w:pPr>
      <w:r w:rsidRPr="00A34AF0">
        <w:t>Review of the p</w:t>
      </w:r>
      <w:r>
        <w:t>rovisions of the SPS Agreement,</w:t>
      </w:r>
      <w:r w:rsidRPr="00A34AF0">
        <w:t xml:space="preserve"> Committee guidance</w:t>
      </w:r>
      <w:r>
        <w:t xml:space="preserve"> </w:t>
      </w:r>
      <w:r w:rsidRPr="00A34AF0">
        <w:t>and relevant dispute settlement reports</w:t>
      </w:r>
      <w:r>
        <w:t xml:space="preserve"> as they relate to risk assessment, risk management, and risk communication</w:t>
      </w:r>
      <w:r w:rsidRPr="00A34AF0">
        <w:t>.</w:t>
      </w:r>
    </w:p>
    <w:p w14:paraId="1C9753C3" w14:textId="77777777" w:rsidR="006538BD" w:rsidRPr="00F4548F" w:rsidRDefault="006538BD" w:rsidP="00190476">
      <w:pPr>
        <w:spacing w:before="240" w:after="240"/>
        <w:ind w:left="284"/>
      </w:pPr>
      <w:r w:rsidRPr="008E36E6">
        <w:rPr>
          <w:b/>
        </w:rPr>
        <w:t>Speaker:</w:t>
      </w:r>
      <w:r w:rsidRPr="008E36E6">
        <w:t xml:space="preserve"> </w:t>
      </w:r>
      <w:r w:rsidRPr="00A34AF0">
        <w:t>WTO Secretariat</w:t>
      </w:r>
    </w:p>
    <w:p w14:paraId="4A675C9D" w14:textId="77777777" w:rsidR="006538BD" w:rsidRPr="00A34AF0" w:rsidRDefault="006538BD" w:rsidP="006538BD">
      <w:pPr>
        <w:pStyle w:val="Heading1"/>
        <w:numPr>
          <w:ilvl w:val="0"/>
          <w:numId w:val="16"/>
        </w:numPr>
        <w:spacing w:after="200"/>
      </w:pPr>
      <w:r>
        <w:t>R</w:t>
      </w:r>
      <w:r w:rsidRPr="00A34AF0">
        <w:t>isk assessment</w:t>
      </w:r>
      <w:r>
        <w:t xml:space="preserve"> (10:30 – 13:00)</w:t>
      </w:r>
    </w:p>
    <w:p w14:paraId="7A58DD0E" w14:textId="77777777" w:rsidR="006538BD" w:rsidRPr="00C65A3C" w:rsidRDefault="006538BD" w:rsidP="006538BD">
      <w:pPr>
        <w:spacing w:before="240" w:after="240"/>
      </w:pPr>
      <w:r>
        <w:t>Provide an overview of</w:t>
      </w:r>
      <w:r w:rsidRPr="00A34AF0">
        <w:t xml:space="preserve"> </w:t>
      </w:r>
      <w:r>
        <w:t xml:space="preserve">and explore key </w:t>
      </w:r>
      <w:r w:rsidRPr="00A34AF0">
        <w:t>concept</w:t>
      </w:r>
      <w:r>
        <w:t>s</w:t>
      </w:r>
      <w:r w:rsidRPr="00A34AF0">
        <w:t xml:space="preserve"> of risk assessment</w:t>
      </w:r>
      <w:r>
        <w:t>, including elements such as hazard identification, hazard characterization, exposure assessment, consequence assessment, and risk characterization,</w:t>
      </w:r>
      <w:r w:rsidRPr="00A34AF0">
        <w:t xml:space="preserve"> and related issues concerning the implementation </w:t>
      </w:r>
      <w:r>
        <w:t xml:space="preserve">of </w:t>
      </w:r>
      <w:r w:rsidRPr="00A34AF0">
        <w:t>relevant provisions of the SPS Agreement.</w:t>
      </w:r>
      <w:r>
        <w:t xml:space="preserve"> </w:t>
      </w:r>
      <w:r w:rsidRPr="0050125B">
        <w:t xml:space="preserve">Additionally, </w:t>
      </w:r>
      <w:r>
        <w:t xml:space="preserve">share experiences on building technical capacities in risk assessment, including currently available training tools, which can help participants understand and manage some of the </w:t>
      </w:r>
      <w:r w:rsidRPr="0050125B">
        <w:t xml:space="preserve">challenges </w:t>
      </w:r>
      <w:r>
        <w:t xml:space="preserve">associated </w:t>
      </w:r>
      <w:r w:rsidRPr="0050125B">
        <w:t xml:space="preserve">with risk assessment, such as obtaining and </w:t>
      </w:r>
      <w:proofErr w:type="spellStart"/>
      <w:r w:rsidRPr="0050125B">
        <w:t>analyzing</w:t>
      </w:r>
      <w:proofErr w:type="spellEnd"/>
      <w:r w:rsidRPr="0050125B">
        <w:t xml:space="preserve"> information required for conducting a risk assessment.</w:t>
      </w:r>
    </w:p>
    <w:p w14:paraId="3E25631D" w14:textId="77777777" w:rsidR="006538BD" w:rsidRPr="00A34AF0" w:rsidRDefault="006538BD" w:rsidP="006538BD">
      <w:pPr>
        <w:pStyle w:val="Heading2"/>
        <w:numPr>
          <w:ilvl w:val="1"/>
          <w:numId w:val="16"/>
        </w:numPr>
      </w:pPr>
      <w:r>
        <w:t xml:space="preserve">Roundtable – </w:t>
      </w:r>
      <w:r w:rsidRPr="00A34AF0">
        <w:t>Relevant international standards</w:t>
      </w:r>
      <w:r>
        <w:t xml:space="preserve"> and other </w:t>
      </w:r>
      <w:r w:rsidRPr="00A0509D">
        <w:t>international tools</w:t>
      </w:r>
    </w:p>
    <w:p w14:paraId="3B582148" w14:textId="70C875A0" w:rsidR="006538BD" w:rsidRPr="00746CAA" w:rsidRDefault="006538BD" w:rsidP="006538BD">
      <w:pPr>
        <w:keepNext/>
        <w:keepLines/>
        <w:spacing w:after="80"/>
      </w:pPr>
      <w:r>
        <w:t>Provide an overview of</w:t>
      </w:r>
      <w:r w:rsidRPr="00A34AF0">
        <w:t xml:space="preserve"> relevant international standards, guidelines or recommendations</w:t>
      </w:r>
      <w:r>
        <w:t xml:space="preserve"> and other international tools</w:t>
      </w:r>
      <w:r w:rsidRPr="00A34AF0">
        <w:t xml:space="preserve"> relating to risk assessment.</w:t>
      </w:r>
      <w:r>
        <w:t xml:space="preserve"> Share capacity building tools.</w:t>
      </w:r>
    </w:p>
    <w:p w14:paraId="3F01A784" w14:textId="77777777" w:rsidR="006538BD" w:rsidRPr="008E36E6" w:rsidRDefault="006538BD" w:rsidP="006538BD">
      <w:pPr>
        <w:spacing w:before="240" w:after="120"/>
        <w:ind w:left="284"/>
        <w:rPr>
          <w:b/>
        </w:rPr>
      </w:pPr>
      <w:r w:rsidRPr="008E36E6">
        <w:rPr>
          <w:b/>
        </w:rPr>
        <w:t>Moderator:</w:t>
      </w:r>
      <w:r w:rsidRPr="008E36E6">
        <w:rPr>
          <w:bCs/>
        </w:rPr>
        <w:t xml:space="preserve"> </w:t>
      </w:r>
      <w:r w:rsidRPr="00763E11">
        <w:rPr>
          <w:bCs/>
          <w:i/>
          <w:iCs/>
        </w:rPr>
        <w:t>TBC</w:t>
      </w:r>
    </w:p>
    <w:p w14:paraId="3D843D0F" w14:textId="77777777" w:rsidR="006538BD" w:rsidRPr="008E36E6" w:rsidRDefault="006538BD" w:rsidP="00B370FE">
      <w:pPr>
        <w:spacing w:before="120" w:after="120"/>
        <w:ind w:left="284"/>
      </w:pPr>
      <w:r w:rsidRPr="008E36E6">
        <w:rPr>
          <w:b/>
        </w:rPr>
        <w:t>Speakers:</w:t>
      </w:r>
    </w:p>
    <w:p w14:paraId="15273494" w14:textId="051B10E1" w:rsidR="006538BD" w:rsidRPr="00B370FE" w:rsidRDefault="006538BD" w:rsidP="005B5804">
      <w:pPr>
        <w:numPr>
          <w:ilvl w:val="0"/>
          <w:numId w:val="17"/>
        </w:numPr>
        <w:spacing w:after="120"/>
        <w:ind w:left="630" w:hanging="346"/>
        <w:rPr>
          <w:bCs/>
          <w:szCs w:val="18"/>
        </w:rPr>
      </w:pPr>
      <w:r w:rsidRPr="00B370FE">
        <w:rPr>
          <w:bCs/>
          <w:szCs w:val="18"/>
        </w:rPr>
        <w:t>Codex Alimentarius</w:t>
      </w:r>
    </w:p>
    <w:p w14:paraId="007888FD" w14:textId="3BA15734" w:rsidR="006538BD" w:rsidRPr="00A0509D" w:rsidRDefault="006538BD" w:rsidP="005B5804">
      <w:pPr>
        <w:numPr>
          <w:ilvl w:val="0"/>
          <w:numId w:val="17"/>
        </w:numPr>
        <w:spacing w:after="120"/>
        <w:ind w:left="630" w:hanging="346"/>
        <w:rPr>
          <w:szCs w:val="18"/>
        </w:rPr>
      </w:pPr>
      <w:proofErr w:type="spellStart"/>
      <w:r>
        <w:rPr>
          <w:b/>
          <w:szCs w:val="18"/>
          <w:lang w:val="en-US"/>
        </w:rPr>
        <w:t>Mr</w:t>
      </w:r>
      <w:proofErr w:type="spellEnd"/>
      <w:r>
        <w:rPr>
          <w:b/>
          <w:szCs w:val="18"/>
          <w:lang w:val="en-US"/>
        </w:rPr>
        <w:t xml:space="preserve"> </w:t>
      </w:r>
      <w:r w:rsidRPr="006870B0">
        <w:rPr>
          <w:b/>
          <w:szCs w:val="18"/>
          <w:lang w:val="en-US"/>
        </w:rPr>
        <w:t>Francisco D</w:t>
      </w:r>
      <w:r w:rsidR="005B5804">
        <w:rPr>
          <w:b/>
          <w:szCs w:val="18"/>
          <w:lang w:val="en-US"/>
        </w:rPr>
        <w:t>'</w:t>
      </w:r>
      <w:r w:rsidRPr="006870B0">
        <w:rPr>
          <w:b/>
          <w:szCs w:val="18"/>
          <w:lang w:val="en-US"/>
        </w:rPr>
        <w:t>Alessio</w:t>
      </w:r>
      <w:r w:rsidRPr="00B370FE">
        <w:rPr>
          <w:bCs/>
          <w:szCs w:val="18"/>
          <w:lang w:val="en-US"/>
        </w:rPr>
        <w:t>,</w:t>
      </w:r>
      <w:r w:rsidR="005B5804" w:rsidRPr="001058AF">
        <w:rPr>
          <w:szCs w:val="18"/>
        </w:rPr>
        <w:t xml:space="preserve"> </w:t>
      </w:r>
      <w:r w:rsidRPr="001058AF">
        <w:rPr>
          <w:szCs w:val="18"/>
        </w:rPr>
        <w:t>Deputy Head</w:t>
      </w:r>
      <w:r>
        <w:rPr>
          <w:szCs w:val="18"/>
        </w:rPr>
        <w:t>,</w:t>
      </w:r>
      <w:r w:rsidRPr="001058AF">
        <w:rPr>
          <w:szCs w:val="18"/>
        </w:rPr>
        <w:t xml:space="preserve"> Standards Departmen</w:t>
      </w:r>
      <w:r>
        <w:rPr>
          <w:szCs w:val="18"/>
        </w:rPr>
        <w:t>t, OIE Secretariat</w:t>
      </w:r>
    </w:p>
    <w:p w14:paraId="2B2C01F1" w14:textId="6AAB2A01" w:rsidR="006538BD" w:rsidRPr="00EE03C3" w:rsidRDefault="006538BD" w:rsidP="00EE03C3">
      <w:pPr>
        <w:numPr>
          <w:ilvl w:val="0"/>
          <w:numId w:val="17"/>
        </w:numPr>
        <w:spacing w:after="240"/>
        <w:ind w:left="630" w:hanging="346"/>
        <w:rPr>
          <w:bCs/>
          <w:szCs w:val="18"/>
        </w:rPr>
      </w:pPr>
      <w:r w:rsidRPr="00EE03C3">
        <w:rPr>
          <w:bCs/>
          <w:szCs w:val="18"/>
        </w:rPr>
        <w:t>FAO-OIE-WHO Joint Risk Assessment Operational Tool</w:t>
      </w:r>
      <w:r w:rsidR="00763E11">
        <w:rPr>
          <w:bCs/>
          <w:szCs w:val="18"/>
        </w:rPr>
        <w:t xml:space="preserve"> </w:t>
      </w:r>
      <w:r w:rsidR="00763E11" w:rsidRPr="00763E11">
        <w:rPr>
          <w:bCs/>
          <w:i/>
          <w:iCs/>
          <w:szCs w:val="18"/>
        </w:rPr>
        <w:t>(TBC)</w:t>
      </w:r>
    </w:p>
    <w:p w14:paraId="52533E96" w14:textId="222CC3C2" w:rsidR="006538BD" w:rsidRPr="00A0509D" w:rsidRDefault="006538BD" w:rsidP="006538BD">
      <w:pPr>
        <w:spacing w:after="240"/>
        <w:ind w:left="284"/>
        <w:rPr>
          <w:i/>
          <w:szCs w:val="18"/>
        </w:rPr>
      </w:pPr>
      <w:r w:rsidRPr="00A34AF0">
        <w:rPr>
          <w:i/>
          <w:szCs w:val="18"/>
        </w:rPr>
        <w:t>Followed by Q&amp;A session and discussion</w:t>
      </w:r>
      <w:r w:rsidR="008E36E6">
        <w:rPr>
          <w:i/>
          <w:szCs w:val="18"/>
        </w:rPr>
        <w:t>.</w:t>
      </w:r>
    </w:p>
    <w:p w14:paraId="5E94E322" w14:textId="77777777" w:rsidR="006538BD" w:rsidRPr="00A34AF0" w:rsidRDefault="006538BD" w:rsidP="006D039B">
      <w:pPr>
        <w:pStyle w:val="Heading2"/>
        <w:numPr>
          <w:ilvl w:val="1"/>
          <w:numId w:val="16"/>
        </w:numPr>
      </w:pPr>
      <w:r>
        <w:t>Roundtable – Member perspectives</w:t>
      </w:r>
    </w:p>
    <w:p w14:paraId="10DA8165" w14:textId="7ADDE966" w:rsidR="006538BD" w:rsidRDefault="006538BD" w:rsidP="00B370FE">
      <w:pPr>
        <w:spacing w:before="120"/>
      </w:pPr>
      <w:r>
        <w:t>Explore and discuss Member perspectives and e</w:t>
      </w:r>
      <w:r w:rsidRPr="00A34AF0">
        <w:t xml:space="preserve">xperiences related to </w:t>
      </w:r>
      <w:r>
        <w:t>risk assessment, including</w:t>
      </w:r>
      <w:r w:rsidR="00763E11">
        <w:t xml:space="preserve"> </w:t>
      </w:r>
      <w:r>
        <w:t>experiences related to building capacity and tools currently available to help countries strengthen their technical capacities in risk assessment</w:t>
      </w:r>
      <w:r w:rsidRPr="00A34AF0">
        <w:t>.</w:t>
      </w:r>
    </w:p>
    <w:p w14:paraId="29A2C4B4" w14:textId="77777777" w:rsidR="006538BD" w:rsidRPr="00190476" w:rsidRDefault="006538BD" w:rsidP="00B370FE">
      <w:pPr>
        <w:spacing w:before="120"/>
        <w:ind w:left="284"/>
      </w:pPr>
      <w:r w:rsidRPr="008E36E6">
        <w:rPr>
          <w:b/>
          <w:bCs/>
        </w:rPr>
        <w:lastRenderedPageBreak/>
        <w:t>Moderator:</w:t>
      </w:r>
      <w:r w:rsidRPr="00C65A3C">
        <w:rPr>
          <w:b/>
          <w:bCs/>
          <w:i/>
          <w:iCs/>
        </w:rPr>
        <w:t xml:space="preserve"> </w:t>
      </w:r>
      <w:r w:rsidRPr="00763E11">
        <w:rPr>
          <w:i/>
          <w:iCs/>
        </w:rPr>
        <w:t>TBC</w:t>
      </w:r>
    </w:p>
    <w:p w14:paraId="6460EC07" w14:textId="77777777" w:rsidR="006538BD" w:rsidRPr="008E36E6" w:rsidRDefault="006538BD" w:rsidP="00B370FE">
      <w:pPr>
        <w:spacing w:before="120" w:after="120"/>
        <w:ind w:left="284"/>
        <w:rPr>
          <w:b/>
          <w:bCs/>
        </w:rPr>
      </w:pPr>
      <w:r w:rsidRPr="008E36E6">
        <w:rPr>
          <w:b/>
        </w:rPr>
        <w:t>Speakers:</w:t>
      </w:r>
    </w:p>
    <w:p w14:paraId="754BC30C" w14:textId="0C32ECEE" w:rsidR="006538BD" w:rsidRPr="003C54B5" w:rsidRDefault="00B5476A" w:rsidP="005B5804">
      <w:pPr>
        <w:numPr>
          <w:ilvl w:val="0"/>
          <w:numId w:val="17"/>
        </w:numPr>
        <w:spacing w:after="120"/>
        <w:ind w:left="630" w:hanging="346"/>
        <w:rPr>
          <w:rFonts w:cs="Arial"/>
          <w:bCs/>
          <w:szCs w:val="18"/>
        </w:rPr>
      </w:pPr>
      <w:r>
        <w:rPr>
          <w:bCs/>
        </w:rPr>
        <w:t xml:space="preserve">Canada </w:t>
      </w:r>
      <w:r w:rsidRPr="00EE03C3">
        <w:rPr>
          <w:bCs/>
          <w:i/>
          <w:iCs/>
        </w:rPr>
        <w:t>(TBC)</w:t>
      </w:r>
    </w:p>
    <w:p w14:paraId="7686A2E2" w14:textId="18B825B4" w:rsidR="006538BD" w:rsidRPr="00B370FE" w:rsidRDefault="006538BD" w:rsidP="005B5804">
      <w:pPr>
        <w:numPr>
          <w:ilvl w:val="0"/>
          <w:numId w:val="17"/>
        </w:numPr>
        <w:spacing w:after="120"/>
        <w:ind w:left="630" w:hanging="346"/>
        <w:rPr>
          <w:rFonts w:cs="Arial"/>
          <w:szCs w:val="18"/>
        </w:rPr>
      </w:pPr>
      <w:r w:rsidRPr="00B370FE">
        <w:rPr>
          <w:lang w:val="en-US"/>
        </w:rPr>
        <w:t>Norway</w:t>
      </w:r>
      <w:r w:rsidR="00B5476A">
        <w:rPr>
          <w:lang w:val="en-US"/>
        </w:rPr>
        <w:t xml:space="preserve"> </w:t>
      </w:r>
      <w:r w:rsidR="00B5476A" w:rsidRPr="00EE03C3">
        <w:rPr>
          <w:i/>
          <w:iCs/>
          <w:lang w:val="en-US"/>
        </w:rPr>
        <w:t>(TBC)</w:t>
      </w:r>
    </w:p>
    <w:p w14:paraId="2623BE4D" w14:textId="379B3BFC" w:rsidR="006538BD" w:rsidRDefault="006538BD" w:rsidP="005B5804">
      <w:pPr>
        <w:numPr>
          <w:ilvl w:val="0"/>
          <w:numId w:val="17"/>
        </w:numPr>
        <w:spacing w:after="120"/>
        <w:ind w:left="630" w:hanging="346"/>
        <w:rPr>
          <w:rFonts w:cs="Arial"/>
          <w:szCs w:val="18"/>
        </w:rPr>
      </w:pPr>
      <w:r w:rsidRPr="00E25266">
        <w:rPr>
          <w:rFonts w:cs="Arial"/>
          <w:b/>
          <w:bCs/>
          <w:szCs w:val="18"/>
        </w:rPr>
        <w:t>Dr Lei Zhang</w:t>
      </w:r>
      <w:r>
        <w:rPr>
          <w:rFonts w:cs="Arial"/>
          <w:szCs w:val="18"/>
        </w:rPr>
        <w:t>,</w:t>
      </w:r>
      <w:r w:rsidRPr="006870B0">
        <w:rPr>
          <w:rFonts w:cs="Arial"/>
          <w:szCs w:val="18"/>
        </w:rPr>
        <w:t xml:space="preserve"> China National </w:t>
      </w:r>
      <w:proofErr w:type="spellStart"/>
      <w:r w:rsidRPr="006870B0">
        <w:rPr>
          <w:rFonts w:cs="Arial"/>
          <w:szCs w:val="18"/>
        </w:rPr>
        <w:t>Center</w:t>
      </w:r>
      <w:proofErr w:type="spellEnd"/>
      <w:r w:rsidRPr="006870B0">
        <w:rPr>
          <w:rFonts w:cs="Arial"/>
          <w:szCs w:val="18"/>
        </w:rPr>
        <w:t xml:space="preserve"> for Food Safety Risk Assessment</w:t>
      </w:r>
    </w:p>
    <w:p w14:paraId="44484FBD" w14:textId="59590112" w:rsidR="006538BD" w:rsidRPr="00190476" w:rsidRDefault="006538BD" w:rsidP="005B5804">
      <w:pPr>
        <w:numPr>
          <w:ilvl w:val="0"/>
          <w:numId w:val="17"/>
        </w:numPr>
        <w:spacing w:after="120"/>
        <w:ind w:left="630" w:hanging="346"/>
      </w:pPr>
      <w:r w:rsidRPr="00CB7801">
        <w:rPr>
          <w:b/>
          <w:bCs/>
        </w:rPr>
        <w:t xml:space="preserve">Ms Barbara </w:t>
      </w:r>
      <w:proofErr w:type="spellStart"/>
      <w:r w:rsidRPr="00CB7801">
        <w:rPr>
          <w:b/>
          <w:bCs/>
        </w:rPr>
        <w:t>Gallani</w:t>
      </w:r>
      <w:proofErr w:type="spellEnd"/>
      <w:r w:rsidRPr="00B370FE">
        <w:t>,</w:t>
      </w:r>
      <w:r w:rsidRPr="009A5B01">
        <w:t xml:space="preserve"> </w:t>
      </w:r>
      <w:r w:rsidRPr="00CB7801">
        <w:t>Head of Communication Engagement and Cooperation Department</w:t>
      </w:r>
      <w:r>
        <w:t>,</w:t>
      </w:r>
      <w:r w:rsidRPr="00CB7801">
        <w:t xml:space="preserve"> European Food Safety Authority</w:t>
      </w:r>
    </w:p>
    <w:p w14:paraId="2527CF3E" w14:textId="468AF72A" w:rsidR="006538BD" w:rsidRDefault="006538BD" w:rsidP="005B5804">
      <w:pPr>
        <w:numPr>
          <w:ilvl w:val="0"/>
          <w:numId w:val="17"/>
        </w:numPr>
        <w:spacing w:after="120"/>
        <w:ind w:left="630" w:hanging="346"/>
      </w:pPr>
      <w:r w:rsidRPr="00CB7801">
        <w:rPr>
          <w:b/>
          <w:bCs/>
        </w:rPr>
        <w:t xml:space="preserve">Ms Anastasia </w:t>
      </w:r>
      <w:proofErr w:type="spellStart"/>
      <w:r w:rsidRPr="00CB7801">
        <w:rPr>
          <w:b/>
          <w:bCs/>
        </w:rPr>
        <w:t>Alvizou</w:t>
      </w:r>
      <w:proofErr w:type="spellEnd"/>
      <w:r w:rsidRPr="005B5804">
        <w:t xml:space="preserve">, </w:t>
      </w:r>
      <w:r w:rsidRPr="00CB7801">
        <w:t>Deputy Head of Unit D1, European Commission Directorate General Health and Food Safety</w:t>
      </w:r>
    </w:p>
    <w:p w14:paraId="03463F3D" w14:textId="5C38E81D" w:rsidR="006538BD" w:rsidRPr="00E25266" w:rsidRDefault="006538BD" w:rsidP="005B5804">
      <w:pPr>
        <w:numPr>
          <w:ilvl w:val="0"/>
          <w:numId w:val="17"/>
        </w:numPr>
        <w:spacing w:after="120"/>
        <w:ind w:left="630" w:hanging="346"/>
      </w:pPr>
      <w:r w:rsidRPr="003D6840">
        <w:rPr>
          <w:b/>
          <w:bCs/>
          <w:color w:val="000000"/>
        </w:rPr>
        <w:t>Ms Alison Neeley</w:t>
      </w:r>
      <w:r w:rsidRPr="005B5804">
        <w:rPr>
          <w:color w:val="000000"/>
        </w:rPr>
        <w:t xml:space="preserve">, </w:t>
      </w:r>
      <w:r>
        <w:rPr>
          <w:color w:val="000000"/>
        </w:rPr>
        <w:t>USDA-APHIS-PPQ Plant Epidemiology and Risk Analysis Laboratory</w:t>
      </w:r>
    </w:p>
    <w:p w14:paraId="21609D1B" w14:textId="2A5EB8FA" w:rsidR="006538BD" w:rsidRPr="00746CAA" w:rsidRDefault="006538BD" w:rsidP="006D039B">
      <w:pPr>
        <w:spacing w:after="240"/>
        <w:ind w:left="284"/>
        <w:rPr>
          <w:i/>
          <w:szCs w:val="18"/>
        </w:rPr>
      </w:pPr>
      <w:r w:rsidRPr="00A34AF0">
        <w:rPr>
          <w:i/>
          <w:szCs w:val="18"/>
        </w:rPr>
        <w:t>Followed by Q&amp;A session and discussion</w:t>
      </w:r>
      <w:r w:rsidR="008E36E6">
        <w:rPr>
          <w:i/>
          <w:szCs w:val="18"/>
        </w:rPr>
        <w:t>.</w:t>
      </w:r>
    </w:p>
    <w:p w14:paraId="1277CE22" w14:textId="39E64499" w:rsidR="006538BD" w:rsidRPr="00D13E28" w:rsidRDefault="006538BD" w:rsidP="00471B96">
      <w:pPr>
        <w:spacing w:after="240"/>
        <w:rPr>
          <w:i/>
          <w:szCs w:val="18"/>
        </w:rPr>
      </w:pPr>
      <w:r w:rsidRPr="00FD0609">
        <w:rPr>
          <w:i/>
          <w:szCs w:val="18"/>
          <w:u w:val="single"/>
        </w:rPr>
        <w:t>Informal discussion</w:t>
      </w:r>
      <w:r w:rsidR="00B06C49" w:rsidRPr="00FD0609">
        <w:rPr>
          <w:i/>
          <w:szCs w:val="18"/>
          <w:u w:val="single"/>
        </w:rPr>
        <w:t xml:space="preserve"> </w:t>
      </w:r>
      <w:r w:rsidRPr="00FD0609">
        <w:rPr>
          <w:i/>
          <w:szCs w:val="18"/>
          <w:u w:val="single"/>
        </w:rPr>
        <w:t>(13:00 – 14:00</w:t>
      </w:r>
      <w:r w:rsidRPr="00FD0609">
        <w:rPr>
          <w:i/>
          <w:szCs w:val="18"/>
        </w:rPr>
        <w:t>)</w:t>
      </w:r>
      <w:r w:rsidR="00B06C49" w:rsidRPr="00FD0609">
        <w:rPr>
          <w:i/>
          <w:szCs w:val="18"/>
        </w:rPr>
        <w:t xml:space="preserve"> (TBC)</w:t>
      </w:r>
      <w:r w:rsidRPr="00FD0609">
        <w:rPr>
          <w:i/>
          <w:szCs w:val="18"/>
        </w:rPr>
        <w:t>: Participants will have an opportunity to</w:t>
      </w:r>
      <w:r w:rsidR="009B2362" w:rsidRPr="00FD0609">
        <w:rPr>
          <w:i/>
          <w:szCs w:val="18"/>
        </w:rPr>
        <w:t xml:space="preserve"> interact</w:t>
      </w:r>
      <w:r w:rsidRPr="00FD0609">
        <w:rPr>
          <w:i/>
          <w:szCs w:val="18"/>
        </w:rPr>
        <w:t xml:space="preserve"> informally </w:t>
      </w:r>
      <w:r w:rsidR="009B2362" w:rsidRPr="00FD0609">
        <w:rPr>
          <w:i/>
          <w:szCs w:val="18"/>
        </w:rPr>
        <w:t xml:space="preserve">and </w:t>
      </w:r>
      <w:r w:rsidR="00B06C49" w:rsidRPr="00FD0609">
        <w:rPr>
          <w:i/>
          <w:szCs w:val="18"/>
        </w:rPr>
        <w:t xml:space="preserve">raise follow-up questions </w:t>
      </w:r>
      <w:r w:rsidRPr="00FD0609">
        <w:rPr>
          <w:i/>
          <w:szCs w:val="18"/>
        </w:rPr>
        <w:t xml:space="preserve">with speakers on the topic of risk assessment in Zoom </w:t>
      </w:r>
      <w:r w:rsidR="00B9174C">
        <w:rPr>
          <w:i/>
          <w:szCs w:val="18"/>
        </w:rPr>
        <w:t>meetings</w:t>
      </w:r>
      <w:r w:rsidRPr="00FD0609">
        <w:rPr>
          <w:i/>
          <w:szCs w:val="18"/>
        </w:rPr>
        <w:t xml:space="preserve">. One </w:t>
      </w:r>
      <w:r w:rsidR="00B9174C">
        <w:rPr>
          <w:i/>
          <w:szCs w:val="18"/>
        </w:rPr>
        <w:t xml:space="preserve">Zoom meeting </w:t>
      </w:r>
      <w:r w:rsidRPr="00FD0609">
        <w:rPr>
          <w:i/>
          <w:szCs w:val="18"/>
        </w:rPr>
        <w:t>will be available to exchange with the relevant international organi</w:t>
      </w:r>
      <w:r w:rsidR="007E1104" w:rsidRPr="00FD0609">
        <w:rPr>
          <w:i/>
          <w:szCs w:val="18"/>
        </w:rPr>
        <w:t>z</w:t>
      </w:r>
      <w:r w:rsidRPr="00FD0609">
        <w:rPr>
          <w:i/>
          <w:szCs w:val="18"/>
        </w:rPr>
        <w:t xml:space="preserve">ations and a second </w:t>
      </w:r>
      <w:r w:rsidR="00B9174C">
        <w:rPr>
          <w:i/>
          <w:szCs w:val="18"/>
        </w:rPr>
        <w:t xml:space="preserve">Zoom meeting </w:t>
      </w:r>
      <w:r w:rsidRPr="00FD0609">
        <w:rPr>
          <w:i/>
          <w:szCs w:val="18"/>
        </w:rPr>
        <w:t xml:space="preserve">to exchange with Members that have made presentations. Discussions in these </w:t>
      </w:r>
      <w:r w:rsidR="00B9174C">
        <w:rPr>
          <w:i/>
          <w:szCs w:val="18"/>
        </w:rPr>
        <w:t xml:space="preserve">Zoom meetings </w:t>
      </w:r>
      <w:r w:rsidRPr="00FD0609">
        <w:rPr>
          <w:i/>
          <w:szCs w:val="18"/>
        </w:rPr>
        <w:t>will not be recorded</w:t>
      </w:r>
      <w:r w:rsidR="009B2362" w:rsidRPr="00FD0609">
        <w:rPr>
          <w:i/>
          <w:szCs w:val="18"/>
        </w:rPr>
        <w:t>; the rooms</w:t>
      </w:r>
      <w:r w:rsidRPr="00FD0609">
        <w:rPr>
          <w:i/>
          <w:szCs w:val="18"/>
        </w:rPr>
        <w:t xml:space="preserve"> will provide a</w:t>
      </w:r>
      <w:r w:rsidR="009B2362" w:rsidRPr="00FD0609">
        <w:rPr>
          <w:i/>
          <w:szCs w:val="18"/>
        </w:rPr>
        <w:t>n opportunity</w:t>
      </w:r>
      <w:r w:rsidRPr="00FD0609">
        <w:rPr>
          <w:i/>
          <w:szCs w:val="18"/>
        </w:rPr>
        <w:t xml:space="preserve"> for informal conversations. Interpretation will not be provided.</w:t>
      </w:r>
    </w:p>
    <w:p w14:paraId="192BA01B" w14:textId="77777777" w:rsidR="006538BD" w:rsidRPr="00A34AF0" w:rsidRDefault="006538BD" w:rsidP="00927073">
      <w:pPr>
        <w:pStyle w:val="Heading1"/>
        <w:numPr>
          <w:ilvl w:val="0"/>
          <w:numId w:val="16"/>
        </w:numPr>
      </w:pPr>
      <w:r>
        <w:t>R</w:t>
      </w:r>
      <w:r w:rsidRPr="00A34AF0">
        <w:t xml:space="preserve">isk </w:t>
      </w:r>
      <w:r>
        <w:t>m</w:t>
      </w:r>
      <w:r w:rsidRPr="00A34AF0">
        <w:t>anagement</w:t>
      </w:r>
      <w:r>
        <w:t xml:space="preserve"> (15:00 – 18:00)</w:t>
      </w:r>
    </w:p>
    <w:p w14:paraId="39A9F6AA" w14:textId="77777777" w:rsidR="006538BD" w:rsidRPr="00A34AF0" w:rsidRDefault="006538BD" w:rsidP="006D039B">
      <w:pPr>
        <w:spacing w:before="240" w:after="240"/>
      </w:pPr>
      <w:r w:rsidRPr="00A34AF0">
        <w:t>Explore the concept of risk management</w:t>
      </w:r>
      <w:r>
        <w:t xml:space="preserve">, </w:t>
      </w:r>
      <w:r w:rsidRPr="00523958">
        <w:t xml:space="preserve">including </w:t>
      </w:r>
      <w:r>
        <w:t xml:space="preserve">the </w:t>
      </w:r>
      <w:r w:rsidRPr="005F72B7">
        <w:t>evaluation of risk management options,</w:t>
      </w:r>
      <w:r>
        <w:t xml:space="preserve"> </w:t>
      </w:r>
      <w:r w:rsidRPr="00523958">
        <w:t>implementation, monitoring and review, and related issues concerning the implementation of relevant provisions of the SPS Agreement.</w:t>
      </w:r>
      <w:r>
        <w:t xml:space="preserve"> </w:t>
      </w:r>
      <w:r w:rsidRPr="0050125B">
        <w:t xml:space="preserve">Additionally, challenges with risk management can be explored, such as </w:t>
      </w:r>
      <w:r>
        <w:t>identifying appropriate types of SPS risks to consider for risk management</w:t>
      </w:r>
      <w:r w:rsidRPr="0050125B">
        <w:t xml:space="preserve"> </w:t>
      </w:r>
      <w:r>
        <w:t xml:space="preserve">and </w:t>
      </w:r>
      <w:r w:rsidRPr="0050125B">
        <w:t xml:space="preserve">determining, </w:t>
      </w:r>
      <w:proofErr w:type="gramStart"/>
      <w:r w:rsidRPr="0050125B">
        <w:t>identifying</w:t>
      </w:r>
      <w:proofErr w:type="gramEnd"/>
      <w:r w:rsidRPr="0050125B">
        <w:t xml:space="preserve"> and evaluating risk management options.</w:t>
      </w:r>
    </w:p>
    <w:p w14:paraId="48689CD7" w14:textId="77777777" w:rsidR="006538BD" w:rsidRPr="00A34AF0" w:rsidRDefault="006538BD" w:rsidP="00927073">
      <w:pPr>
        <w:pStyle w:val="Heading2"/>
        <w:numPr>
          <w:ilvl w:val="1"/>
          <w:numId w:val="16"/>
        </w:numPr>
      </w:pPr>
      <w:r>
        <w:t>Roundtable – Risk management and international standards</w:t>
      </w:r>
    </w:p>
    <w:p w14:paraId="7055D013" w14:textId="77777777" w:rsidR="006538BD" w:rsidRPr="00A34AF0" w:rsidRDefault="006538BD" w:rsidP="00927073">
      <w:pPr>
        <w:spacing w:after="240"/>
      </w:pPr>
      <w:r w:rsidRPr="00A34AF0">
        <w:t xml:space="preserve">Explore the </w:t>
      </w:r>
      <w:r>
        <w:t xml:space="preserve">use of </w:t>
      </w:r>
      <w:r w:rsidRPr="00A34AF0">
        <w:t xml:space="preserve">relevant international standards, </w:t>
      </w:r>
      <w:proofErr w:type="gramStart"/>
      <w:r w:rsidRPr="00A34AF0">
        <w:t>guidelines</w:t>
      </w:r>
      <w:proofErr w:type="gramEnd"/>
      <w:r w:rsidRPr="00A34AF0">
        <w:t xml:space="preserve"> or recommendations </w:t>
      </w:r>
      <w:r>
        <w:t xml:space="preserve">in </w:t>
      </w:r>
      <w:r w:rsidRPr="00A34AF0">
        <w:t>risk management.</w:t>
      </w:r>
      <w:r w:rsidRPr="009147DA">
        <w:t xml:space="preserve"> </w:t>
      </w:r>
      <w:r>
        <w:t>This session will also highlight the difference between activities conducted by international standard-setting bodies and the competence of, and actions conducted by, national authorities.</w:t>
      </w:r>
    </w:p>
    <w:p w14:paraId="271C5F4A" w14:textId="77777777" w:rsidR="006538BD" w:rsidRPr="003944D2" w:rsidRDefault="006538BD" w:rsidP="00B5476A">
      <w:pPr>
        <w:spacing w:before="240" w:after="120"/>
        <w:ind w:left="284"/>
        <w:rPr>
          <w:bCs/>
        </w:rPr>
      </w:pPr>
      <w:r w:rsidRPr="008E36E6">
        <w:rPr>
          <w:b/>
        </w:rPr>
        <w:t xml:space="preserve">Moderator: </w:t>
      </w:r>
      <w:r w:rsidRPr="00B06C49">
        <w:rPr>
          <w:bCs/>
          <w:i/>
          <w:iCs/>
        </w:rPr>
        <w:t>TBC</w:t>
      </w:r>
    </w:p>
    <w:p w14:paraId="0680736D" w14:textId="77777777" w:rsidR="006538BD" w:rsidRPr="008E36E6" w:rsidRDefault="006538BD" w:rsidP="00B5476A">
      <w:pPr>
        <w:spacing w:before="120" w:after="120"/>
        <w:ind w:left="284"/>
      </w:pPr>
      <w:r w:rsidRPr="008E36E6">
        <w:rPr>
          <w:b/>
        </w:rPr>
        <w:t>Speakers:</w:t>
      </w:r>
    </w:p>
    <w:p w14:paraId="08D8D266" w14:textId="5D74D243" w:rsidR="006538BD" w:rsidRPr="003944D2" w:rsidRDefault="006538BD" w:rsidP="005B5804">
      <w:pPr>
        <w:numPr>
          <w:ilvl w:val="0"/>
          <w:numId w:val="17"/>
        </w:numPr>
        <w:spacing w:after="120"/>
        <w:ind w:left="630" w:hanging="346"/>
        <w:rPr>
          <w:bCs/>
          <w:szCs w:val="18"/>
        </w:rPr>
      </w:pPr>
      <w:r w:rsidRPr="001058AF">
        <w:t>Codex Alimentarius</w:t>
      </w:r>
    </w:p>
    <w:p w14:paraId="010C5692" w14:textId="0E2D82EB" w:rsidR="006538BD" w:rsidRPr="003944D2" w:rsidRDefault="006538BD" w:rsidP="005B5804">
      <w:pPr>
        <w:numPr>
          <w:ilvl w:val="0"/>
          <w:numId w:val="17"/>
        </w:numPr>
        <w:spacing w:after="120"/>
        <w:ind w:left="630" w:hanging="346"/>
        <w:rPr>
          <w:bCs/>
          <w:szCs w:val="18"/>
        </w:rPr>
      </w:pPr>
      <w:r w:rsidRPr="00A060CE">
        <w:rPr>
          <w:b/>
          <w:bCs/>
        </w:rPr>
        <w:t>Mr Masahiro S</w:t>
      </w:r>
      <w:r>
        <w:rPr>
          <w:b/>
          <w:bCs/>
        </w:rPr>
        <w:t>ai</w:t>
      </w:r>
      <w:r>
        <w:t>,</w:t>
      </w:r>
      <w:r w:rsidRPr="00A060CE">
        <w:t xml:space="preserve"> </w:t>
      </w:r>
      <w:r>
        <w:t xml:space="preserve">Senior Researcher (Head of Section), Risk Analysis Division, Ministry of Agriculture, Forestry and Fisheries, </w:t>
      </w:r>
      <w:proofErr w:type="gramStart"/>
      <w:r>
        <w:t>Japan</w:t>
      </w:r>
      <w:proofErr w:type="gramEnd"/>
      <w:r>
        <w:t xml:space="preserve"> and Steward of the IPPC Standards Committee</w:t>
      </w:r>
    </w:p>
    <w:p w14:paraId="6D49931F" w14:textId="030437CF" w:rsidR="00471B96" w:rsidRPr="003944D2" w:rsidRDefault="00471B96" w:rsidP="005B5804">
      <w:pPr>
        <w:numPr>
          <w:ilvl w:val="0"/>
          <w:numId w:val="17"/>
        </w:numPr>
        <w:spacing w:after="120"/>
        <w:ind w:left="630" w:hanging="346"/>
        <w:rPr>
          <w:bCs/>
          <w:szCs w:val="18"/>
        </w:rPr>
      </w:pPr>
      <w:r w:rsidRPr="00471B96">
        <w:rPr>
          <w:b/>
          <w:bCs/>
        </w:rPr>
        <w:t>Ms Joanne Wilson</w:t>
      </w:r>
      <w:r w:rsidRPr="00471B96">
        <w:t xml:space="preserve">, New </w:t>
      </w:r>
      <w:proofErr w:type="gramStart"/>
      <w:r w:rsidRPr="00471B96">
        <w:t>Zealand</w:t>
      </w:r>
      <w:proofErr w:type="gramEnd"/>
      <w:r w:rsidRPr="00471B96">
        <w:t xml:space="preserve"> and Steward of the IPPC Standards Committee</w:t>
      </w:r>
    </w:p>
    <w:p w14:paraId="5161C567" w14:textId="53DDA9C9" w:rsidR="006538BD" w:rsidRPr="00745F3E" w:rsidRDefault="006538BD" w:rsidP="005B5804">
      <w:pPr>
        <w:numPr>
          <w:ilvl w:val="0"/>
          <w:numId w:val="17"/>
        </w:numPr>
        <w:spacing w:after="120"/>
        <w:ind w:left="630" w:hanging="346"/>
        <w:rPr>
          <w:szCs w:val="18"/>
        </w:rPr>
      </w:pPr>
      <w:proofErr w:type="spellStart"/>
      <w:r>
        <w:rPr>
          <w:b/>
          <w:szCs w:val="18"/>
          <w:lang w:val="en-US"/>
        </w:rPr>
        <w:t>Mr</w:t>
      </w:r>
      <w:proofErr w:type="spellEnd"/>
      <w:r>
        <w:rPr>
          <w:b/>
          <w:szCs w:val="18"/>
          <w:lang w:val="en-US"/>
        </w:rPr>
        <w:t xml:space="preserve"> </w:t>
      </w:r>
      <w:r w:rsidRPr="006870B0">
        <w:rPr>
          <w:b/>
          <w:szCs w:val="18"/>
          <w:lang w:val="en-US"/>
        </w:rPr>
        <w:t>Francisco D</w:t>
      </w:r>
      <w:r w:rsidR="005B5804">
        <w:rPr>
          <w:b/>
          <w:szCs w:val="18"/>
          <w:lang w:val="en-US"/>
        </w:rPr>
        <w:t>'</w:t>
      </w:r>
      <w:r w:rsidRPr="006870B0">
        <w:rPr>
          <w:b/>
          <w:szCs w:val="18"/>
          <w:lang w:val="en-US"/>
        </w:rPr>
        <w:t>Alessio</w:t>
      </w:r>
      <w:r w:rsidRPr="005B5804">
        <w:rPr>
          <w:bCs/>
          <w:szCs w:val="18"/>
          <w:lang w:val="en-US"/>
        </w:rPr>
        <w:t>,</w:t>
      </w:r>
      <w:r w:rsidR="005B5804">
        <w:rPr>
          <w:szCs w:val="18"/>
        </w:rPr>
        <w:t xml:space="preserve"> </w:t>
      </w:r>
      <w:r w:rsidRPr="001058AF">
        <w:rPr>
          <w:szCs w:val="18"/>
        </w:rPr>
        <w:t>Deputy Head</w:t>
      </w:r>
      <w:r>
        <w:rPr>
          <w:szCs w:val="18"/>
        </w:rPr>
        <w:t xml:space="preserve">, </w:t>
      </w:r>
      <w:r w:rsidRPr="001058AF">
        <w:rPr>
          <w:szCs w:val="18"/>
        </w:rPr>
        <w:t>Standards Departmen</w:t>
      </w:r>
      <w:r>
        <w:rPr>
          <w:szCs w:val="18"/>
        </w:rPr>
        <w:t>t, OIE Secretariat</w:t>
      </w:r>
    </w:p>
    <w:p w14:paraId="2EDEDA42" w14:textId="0A891441" w:rsidR="006538BD" w:rsidRPr="00A34AF0" w:rsidRDefault="006538BD" w:rsidP="006D039B">
      <w:pPr>
        <w:spacing w:after="240"/>
        <w:ind w:left="284"/>
        <w:rPr>
          <w:i/>
          <w:szCs w:val="18"/>
        </w:rPr>
      </w:pPr>
      <w:r w:rsidRPr="00A34AF0">
        <w:rPr>
          <w:i/>
          <w:szCs w:val="18"/>
        </w:rPr>
        <w:t>Followed by Q&amp;A session and discussion</w:t>
      </w:r>
      <w:r w:rsidR="008E36E6">
        <w:rPr>
          <w:i/>
          <w:szCs w:val="18"/>
        </w:rPr>
        <w:t>.</w:t>
      </w:r>
    </w:p>
    <w:p w14:paraId="3667F31D" w14:textId="6745ABA9" w:rsidR="006538BD" w:rsidRDefault="006538BD" w:rsidP="006D039B">
      <w:pPr>
        <w:pStyle w:val="Heading2"/>
        <w:numPr>
          <w:ilvl w:val="1"/>
          <w:numId w:val="16"/>
        </w:numPr>
      </w:pPr>
      <w:r>
        <w:t xml:space="preserve">Roundtable – </w:t>
      </w:r>
      <w:r w:rsidR="000A7399">
        <w:t>Member perspectives</w:t>
      </w:r>
    </w:p>
    <w:p w14:paraId="4CE670E8" w14:textId="2B4571D5" w:rsidR="006538BD" w:rsidRPr="00F4548F" w:rsidRDefault="006538BD" w:rsidP="003C54B5">
      <w:pPr>
        <w:spacing w:after="240"/>
      </w:pPr>
      <w:r w:rsidRPr="00A34AF0">
        <w:t xml:space="preserve">Sharing of successes, challenges, considerations, </w:t>
      </w:r>
      <w:proofErr w:type="gramStart"/>
      <w:r w:rsidRPr="00A34AF0">
        <w:t>impacts</w:t>
      </w:r>
      <w:proofErr w:type="gramEnd"/>
      <w:r w:rsidRPr="00A34AF0">
        <w:t xml:space="preserve"> and best practices related to risk management</w:t>
      </w:r>
      <w:r>
        <w:t>. This session will focus on Member perspectives. It will also include short video clips reflecting the perspective of various private sector actors.</w:t>
      </w:r>
    </w:p>
    <w:p w14:paraId="3F865829" w14:textId="3E3DD854" w:rsidR="006538BD" w:rsidRPr="003944D2" w:rsidRDefault="006538BD" w:rsidP="00EE03C3">
      <w:pPr>
        <w:spacing w:before="240" w:after="120"/>
        <w:ind w:left="284"/>
        <w:rPr>
          <w:bCs/>
        </w:rPr>
      </w:pPr>
      <w:r w:rsidRPr="008E36E6">
        <w:rPr>
          <w:b/>
        </w:rPr>
        <w:t>Video clips:</w:t>
      </w:r>
      <w:r w:rsidRPr="003944D2">
        <w:rPr>
          <w:bCs/>
        </w:rPr>
        <w:t xml:space="preserve"> </w:t>
      </w:r>
      <w:r w:rsidR="00471B96" w:rsidRPr="00B06C49">
        <w:rPr>
          <w:bCs/>
          <w:i/>
          <w:iCs/>
        </w:rPr>
        <w:t>P</w:t>
      </w:r>
      <w:r w:rsidRPr="00B06C49">
        <w:rPr>
          <w:bCs/>
          <w:i/>
          <w:iCs/>
        </w:rPr>
        <w:t xml:space="preserve">rivate sector perspective </w:t>
      </w:r>
      <w:r w:rsidR="00471B96" w:rsidRPr="00B06C49">
        <w:rPr>
          <w:bCs/>
          <w:i/>
          <w:iCs/>
        </w:rPr>
        <w:t>(</w:t>
      </w:r>
      <w:r w:rsidRPr="00B06C49">
        <w:rPr>
          <w:bCs/>
          <w:i/>
          <w:iCs/>
        </w:rPr>
        <w:t>TBC</w:t>
      </w:r>
      <w:r w:rsidR="00471B96" w:rsidRPr="00B06C49">
        <w:rPr>
          <w:bCs/>
          <w:i/>
          <w:iCs/>
        </w:rPr>
        <w:t>)</w:t>
      </w:r>
    </w:p>
    <w:p w14:paraId="4A21C06D" w14:textId="63E34BDD" w:rsidR="007E1104" w:rsidRPr="00190476" w:rsidRDefault="006538BD" w:rsidP="00190476">
      <w:pPr>
        <w:spacing w:before="120" w:after="120"/>
        <w:ind w:left="284"/>
        <w:rPr>
          <w:bCs/>
        </w:rPr>
      </w:pPr>
      <w:r w:rsidRPr="008E36E6">
        <w:rPr>
          <w:b/>
        </w:rPr>
        <w:t>Moderator:</w:t>
      </w:r>
      <w:r w:rsidRPr="003944D2">
        <w:rPr>
          <w:bCs/>
          <w:i/>
          <w:iCs/>
        </w:rPr>
        <w:t xml:space="preserve"> </w:t>
      </w:r>
      <w:r w:rsidRPr="00B06C49">
        <w:rPr>
          <w:bCs/>
          <w:i/>
          <w:iCs/>
        </w:rPr>
        <w:t>TBC</w:t>
      </w:r>
    </w:p>
    <w:p w14:paraId="7AF1338F" w14:textId="18643618" w:rsidR="006538BD" w:rsidRPr="00745F3E" w:rsidRDefault="006538BD" w:rsidP="00190476">
      <w:pPr>
        <w:keepNext/>
        <w:keepLines/>
        <w:spacing w:before="120" w:after="120"/>
        <w:ind w:left="284"/>
        <w:rPr>
          <w:bCs/>
        </w:rPr>
      </w:pPr>
      <w:r w:rsidRPr="008E36E6">
        <w:rPr>
          <w:b/>
        </w:rPr>
        <w:lastRenderedPageBreak/>
        <w:t>Speakers:</w:t>
      </w:r>
    </w:p>
    <w:p w14:paraId="1253F561" w14:textId="79C75697" w:rsidR="006538BD" w:rsidRPr="00B74025" w:rsidRDefault="006538BD" w:rsidP="00190476">
      <w:pPr>
        <w:keepNext/>
        <w:keepLines/>
        <w:numPr>
          <w:ilvl w:val="0"/>
          <w:numId w:val="17"/>
        </w:numPr>
        <w:spacing w:after="120"/>
        <w:ind w:left="630" w:hanging="346"/>
        <w:rPr>
          <w:rFonts w:cs="Arial"/>
          <w:szCs w:val="18"/>
        </w:rPr>
      </w:pPr>
      <w:r w:rsidRPr="00E6612C">
        <w:rPr>
          <w:b/>
        </w:rPr>
        <w:t xml:space="preserve">Mr Johnny </w:t>
      </w:r>
      <w:proofErr w:type="spellStart"/>
      <w:r w:rsidRPr="00E6612C">
        <w:rPr>
          <w:b/>
        </w:rPr>
        <w:t>Marchan</w:t>
      </w:r>
      <w:proofErr w:type="spellEnd"/>
      <w:r w:rsidRPr="00E6612C">
        <w:rPr>
          <w:b/>
        </w:rPr>
        <w:t xml:space="preserve"> Peña</w:t>
      </w:r>
      <w:r w:rsidRPr="00B06C49">
        <w:rPr>
          <w:bCs/>
        </w:rPr>
        <w:t>,</w:t>
      </w:r>
      <w:r w:rsidRPr="009A5B01">
        <w:rPr>
          <w:bCs/>
        </w:rPr>
        <w:t xml:space="preserve"> </w:t>
      </w:r>
      <w:r w:rsidRPr="00EF0D32">
        <w:rPr>
          <w:bCs/>
        </w:rPr>
        <w:t>Executive President</w:t>
      </w:r>
      <w:r>
        <w:rPr>
          <w:bCs/>
        </w:rPr>
        <w:t>,</w:t>
      </w:r>
      <w:r w:rsidRPr="00EF0D32">
        <w:rPr>
          <w:bCs/>
        </w:rPr>
        <w:t xml:space="preserve"> National Fisheries Health Agency</w:t>
      </w:r>
      <w:r>
        <w:rPr>
          <w:bCs/>
        </w:rPr>
        <w:t xml:space="preserve"> (</w:t>
      </w:r>
      <w:r w:rsidRPr="00EF0D32">
        <w:rPr>
          <w:bCs/>
        </w:rPr>
        <w:t>SANIPES</w:t>
      </w:r>
      <w:r>
        <w:rPr>
          <w:bCs/>
        </w:rPr>
        <w:t>)</w:t>
      </w:r>
    </w:p>
    <w:p w14:paraId="39F94A9A" w14:textId="6F51D624" w:rsidR="006538BD" w:rsidRPr="00B74025" w:rsidRDefault="006538BD" w:rsidP="005B5804">
      <w:pPr>
        <w:numPr>
          <w:ilvl w:val="0"/>
          <w:numId w:val="17"/>
        </w:numPr>
        <w:spacing w:after="120"/>
        <w:ind w:left="630" w:hanging="346"/>
      </w:pPr>
      <w:r w:rsidRPr="00B74025">
        <w:rPr>
          <w:b/>
          <w:bCs/>
        </w:rPr>
        <w:t xml:space="preserve">Mr </w:t>
      </w:r>
      <w:r w:rsidRPr="00B74025">
        <w:rPr>
          <w:b/>
          <w:bCs/>
          <w:lang w:val="en-US"/>
        </w:rPr>
        <w:t xml:space="preserve">Rafael </w:t>
      </w:r>
      <w:proofErr w:type="spellStart"/>
      <w:r w:rsidRPr="00782DE0">
        <w:rPr>
          <w:b/>
        </w:rPr>
        <w:t>Mafra</w:t>
      </w:r>
      <w:proofErr w:type="spellEnd"/>
      <w:r w:rsidRPr="00B06C49">
        <w:rPr>
          <w:lang w:val="en-US"/>
        </w:rPr>
        <w:t>,</w:t>
      </w:r>
      <w:r w:rsidRPr="00B74025">
        <w:rPr>
          <w:lang w:val="en-US"/>
        </w:rPr>
        <w:t xml:space="preserve"> Brazilian Ministry of Agriculture - Agricultural Attaché</w:t>
      </w:r>
      <w:r>
        <w:rPr>
          <w:lang w:val="en-US"/>
        </w:rPr>
        <w:t xml:space="preserve">, </w:t>
      </w:r>
      <w:r w:rsidRPr="00B74025">
        <w:rPr>
          <w:lang w:val="en-US"/>
        </w:rPr>
        <w:t>Brazilian Mission to the WTO</w:t>
      </w:r>
    </w:p>
    <w:p w14:paraId="2BAFD0E9" w14:textId="6CE89F8F" w:rsidR="006538BD" w:rsidRDefault="006538BD" w:rsidP="006538BD">
      <w:pPr>
        <w:spacing w:after="240"/>
        <w:ind w:left="284"/>
        <w:rPr>
          <w:i/>
          <w:szCs w:val="18"/>
        </w:rPr>
      </w:pPr>
      <w:r w:rsidRPr="00A34AF0">
        <w:rPr>
          <w:i/>
          <w:szCs w:val="18"/>
        </w:rPr>
        <w:t>Followed by Q&amp;A session and discussion</w:t>
      </w:r>
      <w:r w:rsidR="008E36E6">
        <w:rPr>
          <w:i/>
          <w:szCs w:val="18"/>
        </w:rPr>
        <w:t>.</w:t>
      </w:r>
    </w:p>
    <w:p w14:paraId="12EE41C1" w14:textId="77777777" w:rsidR="006538BD" w:rsidRPr="00B74025" w:rsidRDefault="006538BD" w:rsidP="001A3DB8">
      <w:pPr>
        <w:pStyle w:val="Title"/>
        <w:spacing w:after="360"/>
      </w:pPr>
      <w:r>
        <w:t>Tuesday 13 July 2021</w:t>
      </w:r>
    </w:p>
    <w:p w14:paraId="595D4B0D" w14:textId="77777777" w:rsidR="006538BD" w:rsidRPr="00A34AF0" w:rsidRDefault="006538BD" w:rsidP="006538BD">
      <w:pPr>
        <w:pStyle w:val="Heading1"/>
        <w:numPr>
          <w:ilvl w:val="0"/>
          <w:numId w:val="16"/>
        </w:numPr>
        <w:spacing w:after="200"/>
      </w:pPr>
      <w:r>
        <w:t>R</w:t>
      </w:r>
      <w:r w:rsidRPr="00A34AF0">
        <w:t>isk communication</w:t>
      </w:r>
      <w:r>
        <w:t xml:space="preserve"> (10:00 – 13:00)</w:t>
      </w:r>
    </w:p>
    <w:p w14:paraId="6B150591" w14:textId="77777777" w:rsidR="006538BD" w:rsidRPr="00B31957" w:rsidRDefault="006538BD" w:rsidP="006538BD">
      <w:pPr>
        <w:spacing w:before="240" w:after="240"/>
      </w:pPr>
      <w:r w:rsidRPr="00A34AF0">
        <w:t>Explore the concept of risk communication</w:t>
      </w:r>
      <w:r>
        <w:t>, including developing the goals for a risk communication plan, how to develop a risk communication plan, how to ensure through internal and external communications that t</w:t>
      </w:r>
      <w:r w:rsidRPr="00211762">
        <w:t xml:space="preserve">he </w:t>
      </w:r>
      <w:r>
        <w:t>results of the risk assessment, risk management options</w:t>
      </w:r>
      <w:r w:rsidRPr="00211762">
        <w:t xml:space="preserve">, and </w:t>
      </w:r>
      <w:r w:rsidRPr="00523958">
        <w:t>assumptions and uncertainty</w:t>
      </w:r>
      <w:r>
        <w:t xml:space="preserve"> </w:t>
      </w:r>
      <w:r w:rsidRPr="00211762">
        <w:t xml:space="preserve">of the </w:t>
      </w:r>
      <w:r>
        <w:t>r</w:t>
      </w:r>
      <w:r w:rsidRPr="00211762">
        <w:t xml:space="preserve">isk </w:t>
      </w:r>
      <w:r>
        <w:t>a</w:t>
      </w:r>
      <w:r w:rsidRPr="00211762">
        <w:t xml:space="preserve">ssessment are clearly </w:t>
      </w:r>
      <w:r>
        <w:t xml:space="preserve">communicated to internal and external audiences/stakeholders. Explore the importance of forming trust, working with transparency, and developing confidence in regulatory decisions; discuss strategies to overcome </w:t>
      </w:r>
      <w:r w:rsidRPr="00D23DB6">
        <w:t xml:space="preserve">challenges </w:t>
      </w:r>
      <w:r>
        <w:t xml:space="preserve">associated with significant institutional, capacity, and </w:t>
      </w:r>
      <w:r w:rsidRPr="00D23DB6">
        <w:t>technical constraints</w:t>
      </w:r>
      <w:r>
        <w:t xml:space="preserve">; </w:t>
      </w:r>
      <w:r w:rsidRPr="00A34AF0">
        <w:t xml:space="preserve">and related </w:t>
      </w:r>
      <w:r w:rsidRPr="00B31957">
        <w:t>issues concerning the implementation of relevant provisions of the SPS</w:t>
      </w:r>
      <w:r>
        <w:t xml:space="preserve"> A</w:t>
      </w:r>
      <w:r w:rsidRPr="00B31957">
        <w:t>greement.</w:t>
      </w:r>
    </w:p>
    <w:p w14:paraId="20836F55" w14:textId="77777777" w:rsidR="006538BD" w:rsidRPr="00A34AF0" w:rsidRDefault="006538BD" w:rsidP="006538BD">
      <w:pPr>
        <w:pStyle w:val="Heading2"/>
        <w:numPr>
          <w:ilvl w:val="1"/>
          <w:numId w:val="16"/>
        </w:numPr>
      </w:pPr>
      <w:r w:rsidRPr="00A34AF0">
        <w:t>Relevant international standards</w:t>
      </w:r>
    </w:p>
    <w:p w14:paraId="6D52D9D5" w14:textId="77777777" w:rsidR="006538BD" w:rsidRPr="00A34AF0" w:rsidRDefault="006538BD" w:rsidP="00745F3E">
      <w:pPr>
        <w:spacing w:after="240"/>
      </w:pPr>
      <w:r w:rsidRPr="00A34AF0">
        <w:t>Explore the relevant international standards, guidelines or recommendations relating to risk communication</w:t>
      </w:r>
      <w:r>
        <w:t xml:space="preserve"> and the role of the international standard-setting bodies in risk communication</w:t>
      </w:r>
      <w:r w:rsidRPr="00A34AF0">
        <w:t>.</w:t>
      </w:r>
    </w:p>
    <w:p w14:paraId="1E7BA4EF" w14:textId="2C06BA35" w:rsidR="006538BD" w:rsidRPr="00745F3E" w:rsidRDefault="006538BD" w:rsidP="00745F3E">
      <w:pPr>
        <w:spacing w:before="240" w:after="120"/>
        <w:ind w:left="284"/>
        <w:rPr>
          <w:bCs/>
        </w:rPr>
      </w:pPr>
      <w:r w:rsidRPr="003944D2">
        <w:rPr>
          <w:b/>
        </w:rPr>
        <w:t>Speakers</w:t>
      </w:r>
      <w:r w:rsidRPr="00A34AF0">
        <w:rPr>
          <w:b/>
        </w:rPr>
        <w:t>:</w:t>
      </w:r>
    </w:p>
    <w:p w14:paraId="087335AD" w14:textId="24A187CB" w:rsidR="006538BD" w:rsidRPr="00745F3E" w:rsidRDefault="006538BD" w:rsidP="006538BD">
      <w:pPr>
        <w:numPr>
          <w:ilvl w:val="0"/>
          <w:numId w:val="17"/>
        </w:numPr>
        <w:spacing w:after="120"/>
        <w:ind w:left="630" w:hanging="346"/>
        <w:rPr>
          <w:bCs/>
          <w:szCs w:val="18"/>
          <w:lang w:val="fr-CH"/>
        </w:rPr>
      </w:pPr>
      <w:r w:rsidRPr="00B5476A">
        <w:rPr>
          <w:bCs/>
          <w:szCs w:val="18"/>
        </w:rPr>
        <w:t>Codex Alimentarius</w:t>
      </w:r>
    </w:p>
    <w:p w14:paraId="46DEE0F3" w14:textId="31910383" w:rsidR="006538BD" w:rsidRPr="005B5804" w:rsidRDefault="006D039B" w:rsidP="006538BD">
      <w:pPr>
        <w:numPr>
          <w:ilvl w:val="0"/>
          <w:numId w:val="17"/>
        </w:numPr>
        <w:spacing w:after="120"/>
        <w:ind w:left="630" w:hanging="346"/>
        <w:rPr>
          <w:bCs/>
          <w:szCs w:val="18"/>
          <w:lang w:val="fr-CH"/>
        </w:rPr>
      </w:pPr>
      <w:r w:rsidRPr="00927073">
        <w:rPr>
          <w:b/>
          <w:szCs w:val="18"/>
          <w:lang w:val="fr-CH"/>
        </w:rPr>
        <w:t>Ms Sarah Brunel</w:t>
      </w:r>
      <w:r w:rsidRPr="00471B96">
        <w:rPr>
          <w:bCs/>
          <w:szCs w:val="18"/>
          <w:lang w:val="fr-CH"/>
        </w:rPr>
        <w:t>,</w:t>
      </w:r>
      <w:r w:rsidR="00927073" w:rsidRPr="00471B96">
        <w:rPr>
          <w:bCs/>
          <w:szCs w:val="18"/>
          <w:lang w:val="fr-CH"/>
        </w:rPr>
        <w:t xml:space="preserve"> </w:t>
      </w:r>
      <w:r w:rsidR="006538BD" w:rsidRPr="00471B96">
        <w:rPr>
          <w:bCs/>
          <w:szCs w:val="18"/>
          <w:lang w:val="fr-CH"/>
        </w:rPr>
        <w:t xml:space="preserve">IPPC </w:t>
      </w:r>
      <w:r w:rsidR="007E1104">
        <w:rPr>
          <w:bCs/>
          <w:szCs w:val="18"/>
          <w:lang w:val="fr-CH"/>
        </w:rPr>
        <w:t>Secretariat</w:t>
      </w:r>
    </w:p>
    <w:p w14:paraId="6F689F78" w14:textId="234089BD" w:rsidR="006538BD" w:rsidRPr="00745F3E" w:rsidRDefault="006538BD" w:rsidP="006538BD">
      <w:pPr>
        <w:numPr>
          <w:ilvl w:val="0"/>
          <w:numId w:val="17"/>
        </w:numPr>
        <w:spacing w:after="120"/>
        <w:ind w:left="630" w:hanging="346"/>
        <w:rPr>
          <w:bCs/>
          <w:szCs w:val="18"/>
        </w:rPr>
      </w:pPr>
      <w:proofErr w:type="spellStart"/>
      <w:r>
        <w:rPr>
          <w:b/>
          <w:szCs w:val="18"/>
          <w:lang w:val="en-US"/>
        </w:rPr>
        <w:t>Mr</w:t>
      </w:r>
      <w:proofErr w:type="spellEnd"/>
      <w:r>
        <w:rPr>
          <w:b/>
          <w:szCs w:val="18"/>
          <w:lang w:val="en-US"/>
        </w:rPr>
        <w:t xml:space="preserve"> </w:t>
      </w:r>
      <w:r w:rsidRPr="006870B0">
        <w:rPr>
          <w:b/>
          <w:szCs w:val="18"/>
          <w:lang w:val="en-US"/>
        </w:rPr>
        <w:t>Francisco D</w:t>
      </w:r>
      <w:r w:rsidR="005B5804">
        <w:rPr>
          <w:b/>
          <w:szCs w:val="18"/>
          <w:lang w:val="en-US"/>
        </w:rPr>
        <w:t>'</w:t>
      </w:r>
      <w:r w:rsidRPr="006870B0">
        <w:rPr>
          <w:b/>
          <w:szCs w:val="18"/>
          <w:lang w:val="en-US"/>
        </w:rPr>
        <w:t>Alessio</w:t>
      </w:r>
      <w:r w:rsidRPr="005B5804">
        <w:rPr>
          <w:bCs/>
          <w:szCs w:val="18"/>
          <w:lang w:val="en-US"/>
        </w:rPr>
        <w:t>,</w:t>
      </w:r>
      <w:r w:rsidR="005B5804">
        <w:rPr>
          <w:szCs w:val="18"/>
        </w:rPr>
        <w:t xml:space="preserve"> </w:t>
      </w:r>
      <w:r w:rsidRPr="001058AF">
        <w:rPr>
          <w:szCs w:val="18"/>
        </w:rPr>
        <w:t>Deputy Head</w:t>
      </w:r>
      <w:r>
        <w:rPr>
          <w:szCs w:val="18"/>
        </w:rPr>
        <w:t xml:space="preserve">, </w:t>
      </w:r>
      <w:r w:rsidRPr="001058AF">
        <w:rPr>
          <w:szCs w:val="18"/>
        </w:rPr>
        <w:t>Standards Departmen</w:t>
      </w:r>
      <w:r>
        <w:rPr>
          <w:szCs w:val="18"/>
        </w:rPr>
        <w:t xml:space="preserve">t, OIE </w:t>
      </w:r>
      <w:r w:rsidR="007E1104">
        <w:rPr>
          <w:szCs w:val="18"/>
        </w:rPr>
        <w:t>Secretariat</w:t>
      </w:r>
    </w:p>
    <w:p w14:paraId="1BBAAC97" w14:textId="333E1834" w:rsidR="006538BD" w:rsidRPr="00A34AF0" w:rsidRDefault="006538BD" w:rsidP="006538BD">
      <w:pPr>
        <w:spacing w:after="240"/>
        <w:ind w:left="284"/>
        <w:rPr>
          <w:i/>
          <w:szCs w:val="18"/>
        </w:rPr>
      </w:pPr>
      <w:r w:rsidRPr="00A34AF0">
        <w:rPr>
          <w:i/>
          <w:szCs w:val="18"/>
        </w:rPr>
        <w:t>Followed by Q&amp;A session and discussion</w:t>
      </w:r>
      <w:r w:rsidR="008E36E6">
        <w:rPr>
          <w:i/>
          <w:szCs w:val="18"/>
        </w:rPr>
        <w:t>.</w:t>
      </w:r>
    </w:p>
    <w:p w14:paraId="637BE935" w14:textId="77777777" w:rsidR="006538BD" w:rsidRDefault="006538BD" w:rsidP="006538BD">
      <w:pPr>
        <w:pStyle w:val="Heading2"/>
        <w:numPr>
          <w:ilvl w:val="1"/>
          <w:numId w:val="16"/>
        </w:numPr>
      </w:pPr>
      <w:r w:rsidRPr="00A34AF0">
        <w:t xml:space="preserve">Sharing of successes, challenges, considerations, </w:t>
      </w:r>
      <w:proofErr w:type="gramStart"/>
      <w:r w:rsidRPr="00A34AF0">
        <w:t>impacts</w:t>
      </w:r>
      <w:proofErr w:type="gramEnd"/>
      <w:r w:rsidRPr="00A34AF0">
        <w:t xml:space="preserve"> and best practices related to risk communication</w:t>
      </w:r>
    </w:p>
    <w:p w14:paraId="23AE739E" w14:textId="77777777" w:rsidR="006538BD" w:rsidRPr="001058AF" w:rsidRDefault="006538BD" w:rsidP="006538BD">
      <w:pPr>
        <w:spacing w:after="240"/>
      </w:pPr>
      <w:r>
        <w:t>Explore and discuss Member, Observer, academia, non-governmental organization, and private sector perspectives and e</w:t>
      </w:r>
      <w:r w:rsidRPr="00A34AF0">
        <w:t xml:space="preserve">xperiences related to </w:t>
      </w:r>
      <w:r>
        <w:t>risk communication</w:t>
      </w:r>
      <w:r w:rsidRPr="00A34AF0">
        <w:t>.</w:t>
      </w:r>
    </w:p>
    <w:p w14:paraId="7696344F" w14:textId="77777777" w:rsidR="006538BD" w:rsidRDefault="006538BD" w:rsidP="006538BD">
      <w:pPr>
        <w:pStyle w:val="Heading2"/>
        <w:numPr>
          <w:ilvl w:val="2"/>
          <w:numId w:val="16"/>
        </w:numPr>
      </w:pPr>
      <w:r w:rsidRPr="00782DE0">
        <w:t>Internal risk communication</w:t>
      </w:r>
    </w:p>
    <w:p w14:paraId="7B61B893" w14:textId="77777777" w:rsidR="006538BD" w:rsidRDefault="006538BD" w:rsidP="006538BD">
      <w:pPr>
        <w:spacing w:after="240"/>
      </w:pPr>
      <w:r>
        <w:t>This session will focus on exploring and discussing</w:t>
      </w:r>
      <w:r w:rsidRPr="00782DE0">
        <w:t xml:space="preserve"> effective communication between and among risk assessors and risk managers.</w:t>
      </w:r>
    </w:p>
    <w:p w14:paraId="6EF2E599" w14:textId="77777777" w:rsidR="006538BD" w:rsidRPr="00746CAA" w:rsidRDefault="006538BD" w:rsidP="006538BD">
      <w:pPr>
        <w:spacing w:before="240" w:after="120"/>
        <w:ind w:left="284"/>
        <w:rPr>
          <w:b/>
        </w:rPr>
      </w:pPr>
      <w:r w:rsidRPr="003944D2">
        <w:rPr>
          <w:b/>
        </w:rPr>
        <w:t>Speakers:</w:t>
      </w:r>
      <w:r w:rsidRPr="003944D2">
        <w:rPr>
          <w:bCs/>
        </w:rPr>
        <w:t xml:space="preserve"> </w:t>
      </w:r>
      <w:r w:rsidRPr="00B06C49">
        <w:rPr>
          <w:bCs/>
          <w:i/>
          <w:iCs/>
        </w:rPr>
        <w:t>TBC</w:t>
      </w:r>
    </w:p>
    <w:p w14:paraId="775F04B5" w14:textId="7033420D" w:rsidR="006538BD" w:rsidRPr="00746CAA" w:rsidRDefault="006538BD" w:rsidP="006538BD">
      <w:pPr>
        <w:spacing w:after="240"/>
        <w:ind w:left="284"/>
        <w:rPr>
          <w:i/>
          <w:szCs w:val="18"/>
        </w:rPr>
      </w:pPr>
      <w:r w:rsidRPr="00A34AF0">
        <w:rPr>
          <w:i/>
          <w:szCs w:val="18"/>
        </w:rPr>
        <w:t>Followed by Q&amp;A</w:t>
      </w:r>
      <w:r w:rsidRPr="002F3694">
        <w:rPr>
          <w:i/>
          <w:szCs w:val="18"/>
        </w:rPr>
        <w:t xml:space="preserve"> session and discussion</w:t>
      </w:r>
      <w:r w:rsidR="008E36E6">
        <w:rPr>
          <w:i/>
          <w:szCs w:val="18"/>
        </w:rPr>
        <w:t>.</w:t>
      </w:r>
    </w:p>
    <w:p w14:paraId="134483C6" w14:textId="77777777" w:rsidR="006538BD" w:rsidRDefault="006538BD" w:rsidP="006538BD">
      <w:pPr>
        <w:pStyle w:val="Heading2"/>
        <w:numPr>
          <w:ilvl w:val="2"/>
          <w:numId w:val="16"/>
        </w:numPr>
      </w:pPr>
      <w:r w:rsidRPr="00782DE0">
        <w:t>Translating risk assessment and risk management into communication messages</w:t>
      </w:r>
    </w:p>
    <w:p w14:paraId="46800BAF" w14:textId="683F7F61" w:rsidR="006538BD" w:rsidRDefault="006538BD" w:rsidP="006538BD">
      <w:pPr>
        <w:spacing w:after="240"/>
      </w:pPr>
      <w:r w:rsidRPr="00782DE0">
        <w:t>T</w:t>
      </w:r>
      <w:r>
        <w:t>his session will focus on experiences with t</w:t>
      </w:r>
      <w:r w:rsidRPr="00782DE0">
        <w:t>ranslating risk assessment and risk management into communication messages, including communicating uncertainty and leveraging new communication tools.</w:t>
      </w:r>
      <w:r>
        <w:t xml:space="preserve"> </w:t>
      </w:r>
      <w:r w:rsidR="009B2362">
        <w:t>The</w:t>
      </w:r>
      <w:r w:rsidR="00B5476A">
        <w:t xml:space="preserve"> session will </w:t>
      </w:r>
      <w:r w:rsidR="009B2362">
        <w:t xml:space="preserve">also </w:t>
      </w:r>
      <w:r w:rsidR="00B5476A">
        <w:t>explore and discuss</w:t>
      </w:r>
      <w:r w:rsidR="00B5476A" w:rsidRPr="00782DE0">
        <w:t xml:space="preserve"> effective </w:t>
      </w:r>
      <w:r w:rsidR="00B5476A">
        <w:t xml:space="preserve">ways to target communication, </w:t>
      </w:r>
      <w:r w:rsidR="00B5476A" w:rsidRPr="00782DE0">
        <w:t xml:space="preserve">who are the audiences, what </w:t>
      </w:r>
      <w:r w:rsidR="00B5476A">
        <w:t>is the government’s responsibility and role in risk communication</w:t>
      </w:r>
      <w:r w:rsidR="00B5476A" w:rsidRPr="00782DE0">
        <w:t>, and when to communicate</w:t>
      </w:r>
      <w:r w:rsidR="00B5476A">
        <w:t>.</w:t>
      </w:r>
    </w:p>
    <w:p w14:paraId="394D20BA" w14:textId="577C03F8" w:rsidR="006538BD" w:rsidRPr="003944D2" w:rsidRDefault="006538BD" w:rsidP="005B5804">
      <w:pPr>
        <w:keepNext/>
        <w:spacing w:before="240" w:after="120"/>
        <w:ind w:left="284"/>
        <w:rPr>
          <w:b/>
        </w:rPr>
      </w:pPr>
      <w:r w:rsidRPr="003944D2">
        <w:rPr>
          <w:b/>
        </w:rPr>
        <w:lastRenderedPageBreak/>
        <w:t>Speakers:</w:t>
      </w:r>
    </w:p>
    <w:p w14:paraId="6A21D15C" w14:textId="7DF0E6A2" w:rsidR="00B5476A" w:rsidRPr="003944D2" w:rsidRDefault="00B5476A" w:rsidP="003944D2">
      <w:pPr>
        <w:numPr>
          <w:ilvl w:val="0"/>
          <w:numId w:val="17"/>
        </w:numPr>
        <w:spacing w:after="120"/>
        <w:ind w:left="630" w:hanging="346"/>
      </w:pPr>
      <w:proofErr w:type="spellStart"/>
      <w:r w:rsidRPr="00FD0609">
        <w:rPr>
          <w:b/>
          <w:szCs w:val="18"/>
          <w:lang w:val="en"/>
        </w:rPr>
        <w:t>Ms</w:t>
      </w:r>
      <w:proofErr w:type="spellEnd"/>
      <w:r w:rsidRPr="00FD0609">
        <w:rPr>
          <w:b/>
          <w:szCs w:val="18"/>
          <w:lang w:val="en"/>
        </w:rPr>
        <w:t xml:space="preserve"> </w:t>
      </w:r>
      <w:proofErr w:type="spellStart"/>
      <w:r w:rsidRPr="00FD0609">
        <w:rPr>
          <w:b/>
          <w:szCs w:val="18"/>
          <w:lang w:val="en"/>
        </w:rPr>
        <w:t>Andrée</w:t>
      </w:r>
      <w:proofErr w:type="spellEnd"/>
      <w:r w:rsidRPr="00FD0609">
        <w:rPr>
          <w:b/>
          <w:szCs w:val="18"/>
          <w:lang w:val="en"/>
        </w:rPr>
        <w:t>-Anne Girard</w:t>
      </w:r>
      <w:r w:rsidRPr="00FD0609">
        <w:rPr>
          <w:bCs/>
          <w:szCs w:val="18"/>
          <w:lang w:val="en"/>
        </w:rPr>
        <w:t>, Senior Communications Advisor, Canadian Food Inspection Agency</w:t>
      </w:r>
    </w:p>
    <w:p w14:paraId="5EED457A" w14:textId="1DCCBFED" w:rsidR="006538BD" w:rsidRPr="003944D2" w:rsidRDefault="006538BD" w:rsidP="005B5804">
      <w:pPr>
        <w:numPr>
          <w:ilvl w:val="0"/>
          <w:numId w:val="17"/>
        </w:numPr>
        <w:spacing w:after="120"/>
        <w:ind w:left="630" w:hanging="346"/>
      </w:pPr>
      <w:r w:rsidRPr="00FD0609">
        <w:rPr>
          <w:b/>
          <w:szCs w:val="18"/>
        </w:rPr>
        <w:t xml:space="preserve">Ms </w:t>
      </w:r>
      <w:proofErr w:type="spellStart"/>
      <w:r w:rsidRPr="00FD0609">
        <w:rPr>
          <w:b/>
          <w:szCs w:val="18"/>
        </w:rPr>
        <w:t>Yuqiong</w:t>
      </w:r>
      <w:proofErr w:type="spellEnd"/>
      <w:r w:rsidRPr="00FD0609">
        <w:rPr>
          <w:b/>
          <w:szCs w:val="18"/>
        </w:rPr>
        <w:t xml:space="preserve"> Deng</w:t>
      </w:r>
      <w:r w:rsidRPr="00FD0609">
        <w:rPr>
          <w:bCs/>
          <w:szCs w:val="18"/>
        </w:rPr>
        <w:t>, Section Chief, General Administration of Customs, China.</w:t>
      </w:r>
      <w:r w:rsidRPr="00B5476A">
        <w:rPr>
          <w:i/>
          <w:iCs/>
          <w:szCs w:val="18"/>
        </w:rPr>
        <w:t xml:space="preserve"> </w:t>
      </w:r>
      <w:r w:rsidRPr="00B5476A">
        <w:rPr>
          <w:bCs/>
          <w:i/>
          <w:iCs/>
          <w:szCs w:val="18"/>
        </w:rPr>
        <w:t xml:space="preserve">Risk communication helps restore </w:t>
      </w:r>
      <w:proofErr w:type="spellStart"/>
      <w:r w:rsidRPr="00B5476A">
        <w:rPr>
          <w:bCs/>
          <w:i/>
          <w:iCs/>
          <w:szCs w:val="18"/>
        </w:rPr>
        <w:t>gelatin</w:t>
      </w:r>
      <w:proofErr w:type="spellEnd"/>
      <w:r w:rsidRPr="00B5476A">
        <w:rPr>
          <w:bCs/>
          <w:i/>
          <w:iCs/>
          <w:szCs w:val="18"/>
        </w:rPr>
        <w:t xml:space="preserve"> trade between China and the EU</w:t>
      </w:r>
    </w:p>
    <w:p w14:paraId="40DD5219" w14:textId="52EBB04D" w:rsidR="006538BD" w:rsidRPr="003944D2" w:rsidRDefault="006538BD" w:rsidP="005B5804">
      <w:pPr>
        <w:numPr>
          <w:ilvl w:val="0"/>
          <w:numId w:val="17"/>
        </w:numPr>
        <w:spacing w:after="120"/>
        <w:ind w:left="630" w:hanging="346"/>
      </w:pPr>
      <w:r w:rsidRPr="00CB7801">
        <w:rPr>
          <w:b/>
          <w:bCs/>
        </w:rPr>
        <w:t xml:space="preserve">Ms </w:t>
      </w:r>
      <w:r w:rsidRPr="00503F0E">
        <w:rPr>
          <w:b/>
        </w:rPr>
        <w:t>Barbara</w:t>
      </w:r>
      <w:r w:rsidRPr="00CB7801">
        <w:rPr>
          <w:b/>
          <w:bCs/>
        </w:rPr>
        <w:t xml:space="preserve"> </w:t>
      </w:r>
      <w:proofErr w:type="spellStart"/>
      <w:r w:rsidRPr="00CB7801">
        <w:rPr>
          <w:b/>
          <w:bCs/>
        </w:rPr>
        <w:t>Gallani</w:t>
      </w:r>
      <w:proofErr w:type="spellEnd"/>
      <w:r w:rsidRPr="005B5804">
        <w:t xml:space="preserve">, </w:t>
      </w:r>
      <w:r w:rsidRPr="00CB7801">
        <w:t>Head</w:t>
      </w:r>
      <w:r>
        <w:t xml:space="preserve">, </w:t>
      </w:r>
      <w:r w:rsidRPr="00CB7801">
        <w:t>Communication Engagement and Cooperation Department</w:t>
      </w:r>
      <w:r>
        <w:t>,</w:t>
      </w:r>
      <w:r w:rsidRPr="00CB7801">
        <w:t xml:space="preserve"> European Food Safety Authority</w:t>
      </w:r>
    </w:p>
    <w:p w14:paraId="05A36A6B" w14:textId="36D76592" w:rsidR="006538BD" w:rsidRDefault="006538BD" w:rsidP="005B5804">
      <w:pPr>
        <w:numPr>
          <w:ilvl w:val="0"/>
          <w:numId w:val="17"/>
        </w:numPr>
        <w:spacing w:after="120"/>
        <w:ind w:left="630" w:hanging="346"/>
      </w:pPr>
      <w:r w:rsidRPr="00CB7801">
        <w:rPr>
          <w:b/>
          <w:bCs/>
        </w:rPr>
        <w:t xml:space="preserve">Ms </w:t>
      </w:r>
      <w:r w:rsidRPr="00503F0E">
        <w:rPr>
          <w:b/>
        </w:rPr>
        <w:t>Anastasia</w:t>
      </w:r>
      <w:r w:rsidRPr="00CB7801">
        <w:rPr>
          <w:b/>
          <w:bCs/>
        </w:rPr>
        <w:t xml:space="preserve"> </w:t>
      </w:r>
      <w:proofErr w:type="spellStart"/>
      <w:r w:rsidRPr="00CB7801">
        <w:rPr>
          <w:b/>
          <w:bCs/>
        </w:rPr>
        <w:t>Alvizou</w:t>
      </w:r>
      <w:proofErr w:type="spellEnd"/>
      <w:r w:rsidRPr="006324B7">
        <w:t>,</w:t>
      </w:r>
      <w:r w:rsidRPr="005B5804">
        <w:t xml:space="preserve"> </w:t>
      </w:r>
      <w:r w:rsidRPr="00CB7801">
        <w:t>Deputy Head of Unit D1, European Commission Directorate General Health and Food Safety</w:t>
      </w:r>
    </w:p>
    <w:p w14:paraId="23857BB3" w14:textId="2DFBFA4E" w:rsidR="00EE03C3" w:rsidRDefault="00EE03C3" w:rsidP="005B5804">
      <w:pPr>
        <w:numPr>
          <w:ilvl w:val="0"/>
          <w:numId w:val="17"/>
        </w:numPr>
        <w:spacing w:after="120"/>
        <w:ind w:left="630" w:hanging="346"/>
      </w:pPr>
      <w:r w:rsidRPr="00B5476A">
        <w:t xml:space="preserve">WHO </w:t>
      </w:r>
      <w:r w:rsidRPr="00B5476A">
        <w:rPr>
          <w:i/>
          <w:iCs/>
        </w:rPr>
        <w:t>(TBC)</w:t>
      </w:r>
    </w:p>
    <w:p w14:paraId="36BE4E04" w14:textId="2B4C4BBD" w:rsidR="00EE03C3" w:rsidRDefault="00EE03C3" w:rsidP="005B5804">
      <w:pPr>
        <w:numPr>
          <w:ilvl w:val="0"/>
          <w:numId w:val="17"/>
        </w:numPr>
        <w:spacing w:after="120"/>
        <w:ind w:left="630" w:hanging="346"/>
      </w:pPr>
      <w:r>
        <w:t xml:space="preserve">FAO </w:t>
      </w:r>
      <w:r w:rsidRPr="00EE03C3">
        <w:rPr>
          <w:i/>
          <w:iCs/>
        </w:rPr>
        <w:t>(TBC)</w:t>
      </w:r>
    </w:p>
    <w:p w14:paraId="69363C79" w14:textId="7979F1A4" w:rsidR="006538BD" w:rsidRPr="00FD0609" w:rsidRDefault="006538BD" w:rsidP="006538BD">
      <w:pPr>
        <w:spacing w:after="240"/>
        <w:ind w:left="284"/>
        <w:rPr>
          <w:i/>
          <w:szCs w:val="18"/>
        </w:rPr>
      </w:pPr>
      <w:r w:rsidRPr="00A34AF0">
        <w:rPr>
          <w:i/>
          <w:szCs w:val="18"/>
        </w:rPr>
        <w:t xml:space="preserve">Followed </w:t>
      </w:r>
      <w:r w:rsidRPr="00FD0609">
        <w:rPr>
          <w:i/>
          <w:szCs w:val="18"/>
        </w:rPr>
        <w:t>by Q&amp;A session and discussion</w:t>
      </w:r>
      <w:r w:rsidR="008E36E6">
        <w:rPr>
          <w:i/>
          <w:szCs w:val="18"/>
        </w:rPr>
        <w:t>.</w:t>
      </w:r>
    </w:p>
    <w:p w14:paraId="60BAD13C" w14:textId="398BCACC" w:rsidR="006538BD" w:rsidRPr="00AB7F86" w:rsidRDefault="006538BD" w:rsidP="006538BD">
      <w:pPr>
        <w:spacing w:after="240"/>
        <w:rPr>
          <w:i/>
          <w:szCs w:val="18"/>
        </w:rPr>
      </w:pPr>
      <w:r w:rsidRPr="00FD0609">
        <w:rPr>
          <w:i/>
          <w:szCs w:val="18"/>
          <w:u w:val="single"/>
        </w:rPr>
        <w:t>Informal discussion (13:00 – 14:00</w:t>
      </w:r>
      <w:r w:rsidRPr="00FD0609">
        <w:rPr>
          <w:i/>
          <w:szCs w:val="18"/>
        </w:rPr>
        <w:t>)</w:t>
      </w:r>
      <w:r w:rsidR="007E1104" w:rsidRPr="00FD0609">
        <w:rPr>
          <w:i/>
          <w:szCs w:val="18"/>
        </w:rPr>
        <w:t xml:space="preserve"> (TBC)</w:t>
      </w:r>
      <w:r w:rsidRPr="00FD0609">
        <w:rPr>
          <w:i/>
          <w:szCs w:val="18"/>
        </w:rPr>
        <w:t>: Participants will have an opportunity to</w:t>
      </w:r>
      <w:r w:rsidR="00FD0609" w:rsidRPr="00FD0609">
        <w:rPr>
          <w:i/>
          <w:szCs w:val="18"/>
        </w:rPr>
        <w:t xml:space="preserve"> interact</w:t>
      </w:r>
      <w:r w:rsidR="00B06C49" w:rsidRPr="00FD0609">
        <w:rPr>
          <w:i/>
          <w:szCs w:val="18"/>
        </w:rPr>
        <w:t xml:space="preserve"> informally</w:t>
      </w:r>
      <w:r w:rsidR="00FD0609" w:rsidRPr="00FD0609">
        <w:rPr>
          <w:i/>
          <w:szCs w:val="18"/>
        </w:rPr>
        <w:t xml:space="preserve"> and</w:t>
      </w:r>
      <w:r w:rsidR="00B06C49" w:rsidRPr="00FD0609">
        <w:rPr>
          <w:i/>
          <w:szCs w:val="18"/>
        </w:rPr>
        <w:t xml:space="preserve"> raise follow-up questions</w:t>
      </w:r>
      <w:r w:rsidRPr="00FD0609">
        <w:rPr>
          <w:i/>
          <w:szCs w:val="18"/>
        </w:rPr>
        <w:t xml:space="preserve"> with speakers on the topic of risk communication in Zoom </w:t>
      </w:r>
      <w:proofErr w:type="spellStart"/>
      <w:r w:rsidR="00B9174C">
        <w:rPr>
          <w:i/>
          <w:szCs w:val="18"/>
        </w:rPr>
        <w:t>Zoom</w:t>
      </w:r>
      <w:proofErr w:type="spellEnd"/>
      <w:r w:rsidR="00B9174C">
        <w:rPr>
          <w:i/>
          <w:szCs w:val="18"/>
        </w:rPr>
        <w:t xml:space="preserve"> meetings</w:t>
      </w:r>
      <w:r w:rsidRPr="00FD0609">
        <w:rPr>
          <w:i/>
          <w:szCs w:val="18"/>
        </w:rPr>
        <w:t xml:space="preserve">. One </w:t>
      </w:r>
      <w:r w:rsidR="00B9174C">
        <w:rPr>
          <w:i/>
          <w:szCs w:val="18"/>
        </w:rPr>
        <w:t xml:space="preserve">Zoom meeting </w:t>
      </w:r>
      <w:r w:rsidRPr="00FD0609">
        <w:rPr>
          <w:i/>
          <w:szCs w:val="18"/>
        </w:rPr>
        <w:t>will be available to exchange with the relevant international organi</w:t>
      </w:r>
      <w:r w:rsidR="00930450" w:rsidRPr="00FD0609">
        <w:rPr>
          <w:i/>
          <w:szCs w:val="18"/>
        </w:rPr>
        <w:t>z</w:t>
      </w:r>
      <w:r w:rsidRPr="00FD0609">
        <w:rPr>
          <w:i/>
          <w:szCs w:val="18"/>
        </w:rPr>
        <w:t xml:space="preserve">ations and a second </w:t>
      </w:r>
      <w:r w:rsidR="00B9174C">
        <w:rPr>
          <w:i/>
          <w:szCs w:val="18"/>
        </w:rPr>
        <w:t xml:space="preserve">Zoom meeting </w:t>
      </w:r>
      <w:r w:rsidRPr="00FD0609">
        <w:rPr>
          <w:i/>
          <w:szCs w:val="18"/>
        </w:rPr>
        <w:t xml:space="preserve">to exchange with Members that have made presentations. Discussions in these </w:t>
      </w:r>
      <w:r w:rsidR="00B9174C">
        <w:rPr>
          <w:i/>
          <w:szCs w:val="18"/>
        </w:rPr>
        <w:t xml:space="preserve">Zoom meetings </w:t>
      </w:r>
      <w:r w:rsidRPr="00FD0609">
        <w:rPr>
          <w:i/>
          <w:szCs w:val="18"/>
        </w:rPr>
        <w:t>will not be recorded</w:t>
      </w:r>
      <w:r w:rsidR="00FD0609" w:rsidRPr="00FD0609">
        <w:rPr>
          <w:i/>
          <w:szCs w:val="18"/>
        </w:rPr>
        <w:t>; the rooms</w:t>
      </w:r>
      <w:r w:rsidRPr="00FD0609">
        <w:rPr>
          <w:i/>
          <w:szCs w:val="18"/>
        </w:rPr>
        <w:t xml:space="preserve"> will provide </w:t>
      </w:r>
      <w:r w:rsidR="00FD0609" w:rsidRPr="00FD0609">
        <w:rPr>
          <w:i/>
          <w:szCs w:val="18"/>
        </w:rPr>
        <w:t xml:space="preserve">an opportunity </w:t>
      </w:r>
      <w:r w:rsidRPr="00FD0609">
        <w:rPr>
          <w:i/>
          <w:szCs w:val="18"/>
        </w:rPr>
        <w:t>for informal conversations. Interpretation will not be provided.</w:t>
      </w:r>
    </w:p>
    <w:p w14:paraId="79F9DE7C" w14:textId="77777777" w:rsidR="006538BD" w:rsidRDefault="006538BD" w:rsidP="006538BD">
      <w:pPr>
        <w:pStyle w:val="Heading1"/>
        <w:numPr>
          <w:ilvl w:val="0"/>
          <w:numId w:val="16"/>
        </w:numPr>
        <w:rPr>
          <w:rFonts w:eastAsia="Times New Roman"/>
          <w:lang w:eastAsia="en-GB"/>
        </w:rPr>
      </w:pPr>
      <w:r>
        <w:rPr>
          <w:rFonts w:eastAsia="Times New Roman"/>
          <w:lang w:eastAsia="en-GB"/>
        </w:rPr>
        <w:t>C</w:t>
      </w:r>
      <w:r w:rsidRPr="001C58F8">
        <w:rPr>
          <w:rFonts w:eastAsia="Times New Roman"/>
          <w:lang w:eastAsia="en-GB"/>
        </w:rPr>
        <w:t>ase studies and interactive session</w:t>
      </w:r>
      <w:r>
        <w:rPr>
          <w:rFonts w:eastAsia="Times New Roman"/>
          <w:lang w:eastAsia="en-GB"/>
        </w:rPr>
        <w:t xml:space="preserve"> (15:00 – 18:00)</w:t>
      </w:r>
    </w:p>
    <w:p w14:paraId="01D92646" w14:textId="77777777" w:rsidR="006538BD" w:rsidRPr="001C58F8" w:rsidRDefault="006538BD" w:rsidP="006538BD">
      <w:pPr>
        <w:pStyle w:val="Heading2"/>
        <w:numPr>
          <w:ilvl w:val="1"/>
          <w:numId w:val="16"/>
        </w:numPr>
        <w:rPr>
          <w:lang w:eastAsia="en-GB"/>
        </w:rPr>
      </w:pPr>
      <w:r>
        <w:rPr>
          <w:lang w:eastAsia="en-GB"/>
        </w:rPr>
        <w:t>Case studies</w:t>
      </w:r>
    </w:p>
    <w:p w14:paraId="029DFC36" w14:textId="7775318B" w:rsidR="006538BD" w:rsidRDefault="006538BD" w:rsidP="006538BD">
      <w:pPr>
        <w:spacing w:before="240" w:after="240"/>
      </w:pPr>
      <w:r w:rsidRPr="00A34AF0">
        <w:t xml:space="preserve">Explore case studies of practical examples of </w:t>
      </w:r>
      <w:r>
        <w:t>experiences undertaking (</w:t>
      </w:r>
      <w:proofErr w:type="spellStart"/>
      <w:r>
        <w:t>i</w:t>
      </w:r>
      <w:proofErr w:type="spellEnd"/>
      <w:r>
        <w:t>)</w:t>
      </w:r>
      <w:r w:rsidRPr="00A34AF0">
        <w:t xml:space="preserve"> risk assessment, </w:t>
      </w:r>
      <w:r>
        <w:t xml:space="preserve">(ii) </w:t>
      </w:r>
      <w:r w:rsidRPr="00A34AF0">
        <w:t xml:space="preserve">risk management, and </w:t>
      </w:r>
      <w:r>
        <w:t xml:space="preserve">(iii) </w:t>
      </w:r>
      <w:r w:rsidRPr="00A34AF0">
        <w:t>risk communication</w:t>
      </w:r>
      <w:r>
        <w:t xml:space="preserve"> for sanitary and phytosanitary issues in order to examine how these three components of risk analysis are interlinked and where there may be common challenges with the application of these concepts.</w:t>
      </w:r>
    </w:p>
    <w:p w14:paraId="01E1609E" w14:textId="7673C92E" w:rsidR="006538BD" w:rsidRPr="003944D2" w:rsidRDefault="006538BD" w:rsidP="003944D2">
      <w:pPr>
        <w:keepNext/>
        <w:spacing w:before="240" w:after="120"/>
        <w:ind w:left="284"/>
        <w:rPr>
          <w:b/>
        </w:rPr>
      </w:pPr>
      <w:bookmarkStart w:id="3" w:name="_Hlk71643647"/>
      <w:r w:rsidRPr="003944D2">
        <w:rPr>
          <w:b/>
        </w:rPr>
        <w:t>Speakers</w:t>
      </w:r>
      <w:r w:rsidR="003944D2">
        <w:rPr>
          <w:b/>
        </w:rPr>
        <w:t>:</w:t>
      </w:r>
    </w:p>
    <w:bookmarkEnd w:id="3"/>
    <w:p w14:paraId="58577923" w14:textId="00606597" w:rsidR="006538BD" w:rsidRPr="00190476" w:rsidRDefault="006538BD" w:rsidP="00190476">
      <w:pPr>
        <w:numPr>
          <w:ilvl w:val="0"/>
          <w:numId w:val="17"/>
        </w:numPr>
        <w:spacing w:after="120"/>
        <w:ind w:left="630" w:hanging="346"/>
        <w:rPr>
          <w:rFonts w:cs="Arial"/>
          <w:szCs w:val="18"/>
        </w:rPr>
      </w:pPr>
      <w:r w:rsidRPr="008E31DA">
        <w:rPr>
          <w:b/>
          <w:bCs/>
          <w:color w:val="000000"/>
        </w:rPr>
        <w:t>Mr Alan MacLeod</w:t>
      </w:r>
      <w:r w:rsidRPr="003C54B5">
        <w:rPr>
          <w:color w:val="000000"/>
        </w:rPr>
        <w:t xml:space="preserve">, </w:t>
      </w:r>
      <w:r>
        <w:rPr>
          <w:color w:val="000000"/>
        </w:rPr>
        <w:t>Pest Risk Analyst, Risk and Horizon Scanning Team, Plant and Animal Health Directorate, Department for Environment, Food and Rural Affairs, United Kingdom</w:t>
      </w:r>
    </w:p>
    <w:p w14:paraId="2ECF259B" w14:textId="35265885" w:rsidR="006538BD" w:rsidRPr="00FD0609" w:rsidRDefault="006538BD" w:rsidP="00190476">
      <w:pPr>
        <w:numPr>
          <w:ilvl w:val="0"/>
          <w:numId w:val="17"/>
        </w:numPr>
        <w:spacing w:after="120"/>
        <w:ind w:left="630" w:hanging="346"/>
        <w:rPr>
          <w:rFonts w:cs="Arial"/>
          <w:szCs w:val="18"/>
        </w:rPr>
      </w:pPr>
      <w:r w:rsidRPr="003C54B5">
        <w:rPr>
          <w:color w:val="000000"/>
        </w:rPr>
        <w:t>European Union</w:t>
      </w:r>
      <w:r w:rsidRPr="00FD0609">
        <w:rPr>
          <w:color w:val="000000"/>
        </w:rPr>
        <w:t xml:space="preserve"> </w:t>
      </w:r>
      <w:r w:rsidR="00471B96" w:rsidRPr="00FD0609">
        <w:rPr>
          <w:i/>
          <w:iCs/>
        </w:rPr>
        <w:t>(TBC)</w:t>
      </w:r>
    </w:p>
    <w:p w14:paraId="5BE288BE" w14:textId="563829C5" w:rsidR="006538BD" w:rsidRDefault="006538BD" w:rsidP="006538BD">
      <w:pPr>
        <w:spacing w:after="240"/>
        <w:ind w:left="284"/>
        <w:rPr>
          <w:i/>
          <w:szCs w:val="18"/>
        </w:rPr>
      </w:pPr>
      <w:r w:rsidRPr="00A34AF0">
        <w:rPr>
          <w:i/>
          <w:szCs w:val="18"/>
        </w:rPr>
        <w:t>Followed by Q&amp;A</w:t>
      </w:r>
      <w:r w:rsidRPr="002F3694">
        <w:rPr>
          <w:i/>
          <w:szCs w:val="18"/>
        </w:rPr>
        <w:t xml:space="preserve"> session and discussion</w:t>
      </w:r>
      <w:bookmarkEnd w:id="1"/>
      <w:r w:rsidR="008E36E6">
        <w:rPr>
          <w:i/>
          <w:szCs w:val="18"/>
        </w:rPr>
        <w:t>.</w:t>
      </w:r>
    </w:p>
    <w:p w14:paraId="1CA4CE45" w14:textId="1CA9BF21" w:rsidR="006538BD" w:rsidRPr="003944D2" w:rsidRDefault="006538BD" w:rsidP="006538BD">
      <w:pPr>
        <w:pStyle w:val="Heading2"/>
        <w:numPr>
          <w:ilvl w:val="1"/>
          <w:numId w:val="16"/>
        </w:numPr>
        <w:rPr>
          <w:iCs/>
          <w:szCs w:val="18"/>
        </w:rPr>
      </w:pPr>
      <w:r w:rsidRPr="00746CAA">
        <w:rPr>
          <w:lang w:eastAsia="en-GB"/>
        </w:rPr>
        <w:t>Interactive</w:t>
      </w:r>
      <w:r>
        <w:rPr>
          <w:szCs w:val="18"/>
        </w:rPr>
        <w:t xml:space="preserve"> session </w:t>
      </w:r>
      <w:r w:rsidR="000D00BF" w:rsidRPr="003C54B5">
        <w:rPr>
          <w:i/>
          <w:iCs/>
          <w:szCs w:val="18"/>
        </w:rPr>
        <w:t>(</w:t>
      </w:r>
      <w:r w:rsidRPr="003C54B5">
        <w:rPr>
          <w:i/>
          <w:iCs/>
          <w:szCs w:val="18"/>
        </w:rPr>
        <w:t>TBC</w:t>
      </w:r>
      <w:r w:rsidR="000D00BF" w:rsidRPr="003C54B5">
        <w:rPr>
          <w:i/>
          <w:iCs/>
          <w:szCs w:val="18"/>
        </w:rPr>
        <w:t>)</w:t>
      </w:r>
    </w:p>
    <w:p w14:paraId="798A0075" w14:textId="748D653A" w:rsidR="006538BD" w:rsidRPr="008E36E6" w:rsidRDefault="006538BD" w:rsidP="005B5804">
      <w:pPr>
        <w:spacing w:after="240"/>
      </w:pPr>
      <w:r>
        <w:t xml:space="preserve">Active participation in facilitator-led interactive activity. Participants will have the possibility to complete practical exercises led by a facilitator to explore practical aspects of risk assessment, risk management, or risk communication. </w:t>
      </w:r>
      <w:r w:rsidR="00EE03C3" w:rsidRPr="00EE03C3">
        <w:rPr>
          <w:i/>
          <w:iCs/>
        </w:rPr>
        <w:t>(This session is to be confirmed.)</w:t>
      </w:r>
    </w:p>
    <w:p w14:paraId="4DBDAE6F" w14:textId="77777777" w:rsidR="006538BD" w:rsidRDefault="006538BD" w:rsidP="006538BD">
      <w:pPr>
        <w:pStyle w:val="Heading1"/>
        <w:numPr>
          <w:ilvl w:val="0"/>
          <w:numId w:val="16"/>
        </w:numPr>
        <w:rPr>
          <w:rFonts w:eastAsia="Times New Roman"/>
          <w:lang w:eastAsia="en-GB"/>
        </w:rPr>
      </w:pPr>
      <w:r w:rsidRPr="006870B0">
        <w:rPr>
          <w:rFonts w:eastAsia="Times New Roman"/>
          <w:lang w:eastAsia="en-GB"/>
        </w:rPr>
        <w:t>C</w:t>
      </w:r>
      <w:r>
        <w:rPr>
          <w:rFonts w:eastAsia="Times New Roman"/>
          <w:lang w:eastAsia="en-GB"/>
        </w:rPr>
        <w:t>los</w:t>
      </w:r>
      <w:r w:rsidRPr="006870B0">
        <w:rPr>
          <w:rFonts w:eastAsia="Times New Roman"/>
          <w:lang w:eastAsia="en-GB"/>
        </w:rPr>
        <w:t>Ing remarks</w:t>
      </w:r>
    </w:p>
    <w:p w14:paraId="00D9ACB3" w14:textId="0D25F347" w:rsidR="006538BD" w:rsidRPr="00190476" w:rsidRDefault="006538BD" w:rsidP="000772D9">
      <w:pPr>
        <w:spacing w:before="240" w:after="240"/>
      </w:pPr>
      <w:r>
        <w:rPr>
          <w:b/>
          <w:bCs/>
          <w:lang w:eastAsia="en-GB"/>
        </w:rPr>
        <w:t xml:space="preserve">Mr </w:t>
      </w:r>
      <w:r w:rsidRPr="001058AF">
        <w:rPr>
          <w:b/>
          <w:bCs/>
          <w:lang w:eastAsia="en-GB"/>
        </w:rPr>
        <w:t xml:space="preserve">Gregory </w:t>
      </w:r>
      <w:r w:rsidRPr="001058AF">
        <w:rPr>
          <w:b/>
          <w:bCs/>
        </w:rPr>
        <w:t>McDonald</w:t>
      </w:r>
      <w:r w:rsidRPr="001058AF">
        <w:rPr>
          <w:lang w:eastAsia="en-GB"/>
        </w:rPr>
        <w:t>, Chairperson of the SPS Committee</w:t>
      </w:r>
    </w:p>
    <w:p w14:paraId="76608082" w14:textId="1B1EAC27" w:rsidR="007141CF" w:rsidRPr="0027067B" w:rsidRDefault="006538BD" w:rsidP="001A3DB8">
      <w:pPr>
        <w:jc w:val="center"/>
      </w:pPr>
      <w:r>
        <w:rPr>
          <w:b/>
          <w:lang w:val="en-US"/>
        </w:rPr>
        <w:t>__________</w:t>
      </w:r>
      <w:bookmarkEnd w:id="0"/>
    </w:p>
    <w:sectPr w:rsidR="007141CF" w:rsidRPr="0027067B" w:rsidSect="008E36E6">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0CC9F" w14:textId="77777777" w:rsidR="009345E6" w:rsidRDefault="009345E6" w:rsidP="00ED54E0">
      <w:r>
        <w:separator/>
      </w:r>
    </w:p>
  </w:endnote>
  <w:endnote w:type="continuationSeparator" w:id="0">
    <w:p w14:paraId="03E7C88E" w14:textId="77777777" w:rsidR="009345E6" w:rsidRDefault="009345E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1B7F" w14:textId="0464A7DA" w:rsidR="00544326" w:rsidRPr="008E36E6" w:rsidRDefault="008E36E6" w:rsidP="008E36E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C8759" w14:textId="0B26F754" w:rsidR="00544326" w:rsidRPr="008E36E6" w:rsidRDefault="008E36E6" w:rsidP="008E36E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22B8E" w14:textId="77777777" w:rsidR="009345E6" w:rsidRDefault="009345E6" w:rsidP="00ED54E0">
      <w:r>
        <w:separator/>
      </w:r>
    </w:p>
  </w:footnote>
  <w:footnote w:type="continuationSeparator" w:id="0">
    <w:p w14:paraId="1DCDA2E0" w14:textId="77777777" w:rsidR="009345E6" w:rsidRDefault="009345E6" w:rsidP="00ED54E0">
      <w:r>
        <w:continuationSeparator/>
      </w:r>
    </w:p>
  </w:footnote>
  <w:footnote w:id="1">
    <w:p w14:paraId="4D79B315" w14:textId="77777777" w:rsidR="006538BD" w:rsidRPr="00CB2101" w:rsidRDefault="006538BD" w:rsidP="006538BD">
      <w:pPr>
        <w:pStyle w:val="FootnoteText"/>
        <w:jc w:val="both"/>
        <w:rPr>
          <w:szCs w:val="16"/>
        </w:rPr>
      </w:pPr>
      <w:r w:rsidRPr="00AF1AC7">
        <w:rPr>
          <w:rStyle w:val="FootnoteReference"/>
        </w:rPr>
        <w:footnoteRef/>
      </w:r>
      <w:r w:rsidRPr="00AF1AC7">
        <w:t xml:space="preserve"> </w:t>
      </w:r>
      <w:r w:rsidRPr="00AF1AC7">
        <w:rPr>
          <w:snapToGrid w:val="0"/>
          <w:szCs w:val="16"/>
        </w:rPr>
        <w:t>This document has been prepared under the Secretariat's own responsibility and is without prejudice to the positions of Members or to their rights and obligations under the WTO.</w:t>
      </w:r>
    </w:p>
  </w:footnote>
  <w:footnote w:id="2">
    <w:p w14:paraId="0B34F2FE" w14:textId="5B17BA25" w:rsidR="006538BD" w:rsidRPr="005F0B45" w:rsidRDefault="006538BD" w:rsidP="00763E11">
      <w:pPr>
        <w:ind w:firstLine="567"/>
        <w:rPr>
          <w:sz w:val="16"/>
          <w:szCs w:val="16"/>
        </w:rPr>
      </w:pPr>
      <w:r w:rsidRPr="005F0B45">
        <w:rPr>
          <w:rStyle w:val="FootnoteReference"/>
          <w:sz w:val="16"/>
          <w:szCs w:val="16"/>
        </w:rPr>
        <w:footnoteRef/>
      </w:r>
      <w:r w:rsidRPr="005F0B45">
        <w:rPr>
          <w:sz w:val="16"/>
          <w:szCs w:val="16"/>
        </w:rPr>
        <w:t xml:space="preserve"> </w:t>
      </w:r>
      <w:r w:rsidRPr="005F0B45">
        <w:rPr>
          <w:sz w:val="16"/>
          <w:szCs w:val="16"/>
          <w:lang w:eastAsia="en-GB"/>
        </w:rPr>
        <w:t xml:space="preserve">A first draft of the programme was circulated </w:t>
      </w:r>
      <w:r>
        <w:rPr>
          <w:sz w:val="16"/>
          <w:szCs w:val="16"/>
          <w:lang w:eastAsia="en-GB"/>
        </w:rPr>
        <w:t>by</w:t>
      </w:r>
      <w:r w:rsidRPr="005F0B45">
        <w:rPr>
          <w:sz w:val="16"/>
          <w:szCs w:val="16"/>
          <w:lang w:eastAsia="en-GB"/>
        </w:rPr>
        <w:t xml:space="preserve"> </w:t>
      </w:r>
      <w:r w:rsidR="00763E11">
        <w:rPr>
          <w:sz w:val="16"/>
          <w:szCs w:val="16"/>
        </w:rPr>
        <w:t>Canada in document</w:t>
      </w:r>
      <w:r w:rsidRPr="005F0B45">
        <w:rPr>
          <w:sz w:val="16"/>
          <w:szCs w:val="16"/>
        </w:rPr>
        <w:t xml:space="preserve"> </w:t>
      </w:r>
      <w:hyperlink r:id="rId1" w:history="1">
        <w:r w:rsidRPr="00763E11">
          <w:rPr>
            <w:rStyle w:val="Hyperlink"/>
            <w:sz w:val="16"/>
            <w:szCs w:val="16"/>
          </w:rPr>
          <w:t>G/SPS/GEN/</w:t>
        </w:r>
        <w:r w:rsidR="00763E11" w:rsidRPr="00763E11">
          <w:rPr>
            <w:rStyle w:val="Hyperlink"/>
            <w:sz w:val="16"/>
            <w:szCs w:val="16"/>
          </w:rPr>
          <w:t>1769</w:t>
        </w:r>
      </w:hyperlink>
      <w:r w:rsidR="00763E11">
        <w:rPr>
          <w:sz w:val="16"/>
          <w:szCs w:val="16"/>
        </w:rPr>
        <w:t xml:space="preserve">, </w:t>
      </w:r>
      <w:r w:rsidRPr="005F0B45">
        <w:rPr>
          <w:sz w:val="16"/>
          <w:szCs w:val="16"/>
          <w:lang w:eastAsia="en-GB"/>
        </w:rPr>
        <w:t xml:space="preserve">and </w:t>
      </w:r>
      <w:r>
        <w:rPr>
          <w:sz w:val="16"/>
          <w:szCs w:val="16"/>
          <w:lang w:eastAsia="en-GB"/>
        </w:rPr>
        <w:t xml:space="preserve">its </w:t>
      </w:r>
      <w:r w:rsidRPr="005F0B45">
        <w:rPr>
          <w:sz w:val="16"/>
          <w:szCs w:val="16"/>
          <w:lang w:eastAsia="en-GB"/>
        </w:rPr>
        <w:t>subsequent revis</w:t>
      </w:r>
      <w:r>
        <w:rPr>
          <w:sz w:val="16"/>
          <w:szCs w:val="16"/>
          <w:lang w:eastAsia="en-GB"/>
        </w:rPr>
        <w:t>ion</w:t>
      </w:r>
      <w:r w:rsidRPr="005F0B45">
        <w:rPr>
          <w:sz w:val="16"/>
          <w:szCs w:val="16"/>
          <w:lang w:eastAsia="en-GB"/>
        </w:rPr>
        <w:t xml:space="preserve"> (</w:t>
      </w:r>
      <w:hyperlink r:id="rId2" w:history="1">
        <w:r w:rsidRPr="00763E11">
          <w:rPr>
            <w:rStyle w:val="Hyperlink"/>
            <w:sz w:val="16"/>
            <w:szCs w:val="16"/>
          </w:rPr>
          <w:t>G/SPS/GEN/1769/Rev.1</w:t>
        </w:r>
      </w:hyperlink>
      <w:r w:rsidRPr="005F0B45">
        <w:rPr>
          <w:sz w:val="16"/>
          <w:szCs w:val="16"/>
        </w:rPr>
        <w:t xml:space="preserve">). </w:t>
      </w:r>
      <w:r w:rsidRPr="005F0B45">
        <w:rPr>
          <w:sz w:val="16"/>
          <w:szCs w:val="16"/>
          <w:lang w:eastAsia="en-GB"/>
        </w:rPr>
        <w:t>Members were invited to submit comments on the revised draft programme and suggest speakers by 23 April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D53C" w14:textId="27BF5B95" w:rsidR="008E36E6" w:rsidRPr="008E36E6" w:rsidRDefault="008E36E6" w:rsidP="008E36E6">
    <w:pPr>
      <w:pStyle w:val="Header"/>
      <w:pBdr>
        <w:bottom w:val="single" w:sz="4" w:space="1" w:color="auto"/>
      </w:pBdr>
      <w:tabs>
        <w:tab w:val="clear" w:pos="4513"/>
        <w:tab w:val="clear" w:pos="9027"/>
      </w:tabs>
      <w:jc w:val="center"/>
    </w:pPr>
    <w:r w:rsidRPr="008E36E6">
      <w:t xml:space="preserve">- </w:t>
    </w:r>
    <w:r w:rsidRPr="008E36E6">
      <w:fldChar w:fldCharType="begin"/>
    </w:r>
    <w:r w:rsidRPr="008E36E6">
      <w:instrText xml:space="preserve"> PAGE </w:instrText>
    </w:r>
    <w:r w:rsidRPr="008E36E6">
      <w:fldChar w:fldCharType="separate"/>
    </w:r>
    <w:r w:rsidRPr="008E36E6">
      <w:rPr>
        <w:noProof/>
      </w:rPr>
      <w:t>2</w:t>
    </w:r>
    <w:r w:rsidRPr="008E36E6">
      <w:fldChar w:fldCharType="end"/>
    </w:r>
    <w:r w:rsidRPr="008E36E6">
      <w:t xml:space="preserve"> -</w:t>
    </w:r>
  </w:p>
  <w:p w14:paraId="763AFE66" w14:textId="5D6D7C6A" w:rsidR="00544326" w:rsidRPr="008E36E6" w:rsidRDefault="00544326" w:rsidP="008E36E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0F401" w14:textId="77777777" w:rsidR="008E36E6" w:rsidRPr="008E36E6" w:rsidRDefault="008E36E6" w:rsidP="008E36E6">
    <w:pPr>
      <w:pStyle w:val="Header"/>
      <w:pBdr>
        <w:bottom w:val="single" w:sz="4" w:space="1" w:color="auto"/>
      </w:pBdr>
      <w:tabs>
        <w:tab w:val="clear" w:pos="4513"/>
        <w:tab w:val="clear" w:pos="9027"/>
      </w:tabs>
      <w:jc w:val="center"/>
    </w:pPr>
  </w:p>
  <w:p w14:paraId="1385CA89" w14:textId="554A2241" w:rsidR="008E36E6" w:rsidRPr="008E36E6" w:rsidRDefault="008E36E6" w:rsidP="008E36E6">
    <w:pPr>
      <w:pStyle w:val="Header"/>
      <w:pBdr>
        <w:bottom w:val="single" w:sz="4" w:space="1" w:color="auto"/>
      </w:pBdr>
      <w:tabs>
        <w:tab w:val="clear" w:pos="4513"/>
        <w:tab w:val="clear" w:pos="9027"/>
      </w:tabs>
      <w:jc w:val="center"/>
    </w:pPr>
    <w:r w:rsidRPr="008E36E6">
      <w:t xml:space="preserve">- </w:t>
    </w:r>
    <w:r w:rsidRPr="008E36E6">
      <w:fldChar w:fldCharType="begin"/>
    </w:r>
    <w:r w:rsidRPr="008E36E6">
      <w:instrText xml:space="preserve"> PAGE </w:instrText>
    </w:r>
    <w:r w:rsidRPr="008E36E6">
      <w:fldChar w:fldCharType="separate"/>
    </w:r>
    <w:r w:rsidRPr="008E36E6">
      <w:rPr>
        <w:noProof/>
      </w:rPr>
      <w:t>5</w:t>
    </w:r>
    <w:r w:rsidRPr="008E36E6">
      <w:fldChar w:fldCharType="end"/>
    </w:r>
    <w:r w:rsidRPr="008E36E6">
      <w:t xml:space="preserve"> -</w:t>
    </w:r>
  </w:p>
  <w:p w14:paraId="369A9F3F" w14:textId="24881476" w:rsidR="00544326" w:rsidRPr="008E36E6" w:rsidRDefault="00544326" w:rsidP="008E36E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22D3150C" w14:textId="77777777" w:rsidTr="00544326">
      <w:trPr>
        <w:trHeight w:val="240"/>
        <w:jc w:val="center"/>
      </w:trPr>
      <w:tc>
        <w:tcPr>
          <w:tcW w:w="3794" w:type="dxa"/>
          <w:shd w:val="clear" w:color="auto" w:fill="FFFFFF"/>
          <w:tcMar>
            <w:left w:w="108" w:type="dxa"/>
            <w:right w:w="108" w:type="dxa"/>
          </w:tcMar>
          <w:vAlign w:val="center"/>
        </w:tcPr>
        <w:p w14:paraId="2324CD47" w14:textId="77777777" w:rsidR="00ED54E0" w:rsidRPr="00182B84" w:rsidRDefault="00ED54E0" w:rsidP="00425DC5">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14:paraId="55E3E4F3" w14:textId="68B08710" w:rsidR="00ED54E0" w:rsidRPr="00182B84" w:rsidRDefault="008E36E6" w:rsidP="00425DC5">
          <w:pPr>
            <w:jc w:val="right"/>
            <w:rPr>
              <w:b/>
              <w:color w:val="FF0000"/>
              <w:szCs w:val="16"/>
            </w:rPr>
          </w:pPr>
          <w:r>
            <w:rPr>
              <w:b/>
              <w:color w:val="FF0000"/>
              <w:szCs w:val="16"/>
            </w:rPr>
            <w:t xml:space="preserve"> </w:t>
          </w:r>
        </w:p>
      </w:tc>
    </w:tr>
    <w:bookmarkEnd w:id="4"/>
    <w:tr w:rsidR="00ED54E0" w:rsidRPr="00182B84" w14:paraId="30A54BE0" w14:textId="77777777" w:rsidTr="00544326">
      <w:trPr>
        <w:trHeight w:val="213"/>
        <w:jc w:val="center"/>
      </w:trPr>
      <w:tc>
        <w:tcPr>
          <w:tcW w:w="3794" w:type="dxa"/>
          <w:vMerge w:val="restart"/>
          <w:shd w:val="clear" w:color="auto" w:fill="FFFFFF"/>
          <w:tcMar>
            <w:left w:w="0" w:type="dxa"/>
            <w:right w:w="0" w:type="dxa"/>
          </w:tcMar>
        </w:tcPr>
        <w:p w14:paraId="16DB2DE0" w14:textId="77777777" w:rsidR="00ED54E0" w:rsidRPr="00182B84" w:rsidRDefault="00ED54E0" w:rsidP="00425DC5">
          <w:pPr>
            <w:jc w:val="left"/>
          </w:pPr>
          <w:r w:rsidRPr="00182B84">
            <w:rPr>
              <w:noProof/>
              <w:lang w:val="en-US"/>
            </w:rPr>
            <w:drawing>
              <wp:inline distT="0" distB="0" distL="0" distR="0" wp14:anchorId="327F7260" wp14:editId="5E5392EE">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7BACE9" w14:textId="77777777" w:rsidR="00ED54E0" w:rsidRPr="00182B84" w:rsidRDefault="00ED54E0" w:rsidP="00425DC5">
          <w:pPr>
            <w:jc w:val="right"/>
            <w:rPr>
              <w:b/>
              <w:szCs w:val="16"/>
            </w:rPr>
          </w:pPr>
        </w:p>
      </w:tc>
    </w:tr>
    <w:tr w:rsidR="00ED54E0" w:rsidRPr="00182B84" w14:paraId="347C0839" w14:textId="77777777" w:rsidTr="00544326">
      <w:trPr>
        <w:trHeight w:val="868"/>
        <w:jc w:val="center"/>
      </w:trPr>
      <w:tc>
        <w:tcPr>
          <w:tcW w:w="3794" w:type="dxa"/>
          <w:vMerge/>
          <w:shd w:val="clear" w:color="auto" w:fill="FFFFFF"/>
          <w:tcMar>
            <w:left w:w="108" w:type="dxa"/>
            <w:right w:w="108" w:type="dxa"/>
          </w:tcMar>
        </w:tcPr>
        <w:p w14:paraId="505C9323"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D9266BC" w14:textId="21179BD2" w:rsidR="00ED54E0" w:rsidRPr="00182B84" w:rsidRDefault="00ED54E0" w:rsidP="00C05817">
          <w:pPr>
            <w:jc w:val="right"/>
            <w:rPr>
              <w:b/>
              <w:szCs w:val="16"/>
            </w:rPr>
          </w:pPr>
        </w:p>
      </w:tc>
    </w:tr>
    <w:tr w:rsidR="00ED54E0" w:rsidRPr="00182B84" w14:paraId="7CC8280A" w14:textId="77777777" w:rsidTr="00544326">
      <w:trPr>
        <w:trHeight w:val="240"/>
        <w:jc w:val="center"/>
      </w:trPr>
      <w:tc>
        <w:tcPr>
          <w:tcW w:w="3794" w:type="dxa"/>
          <w:vMerge/>
          <w:shd w:val="clear" w:color="auto" w:fill="FFFFFF"/>
          <w:tcMar>
            <w:left w:w="108" w:type="dxa"/>
            <w:right w:w="108" w:type="dxa"/>
          </w:tcMar>
          <w:vAlign w:val="center"/>
        </w:tcPr>
        <w:p w14:paraId="155448F4" w14:textId="77777777" w:rsidR="00ED54E0" w:rsidRPr="00182B84" w:rsidRDefault="00ED54E0" w:rsidP="00425DC5"/>
      </w:tc>
      <w:tc>
        <w:tcPr>
          <w:tcW w:w="5448" w:type="dxa"/>
          <w:gridSpan w:val="2"/>
          <w:shd w:val="clear" w:color="auto" w:fill="FFFFFF"/>
          <w:tcMar>
            <w:left w:w="108" w:type="dxa"/>
            <w:right w:w="108" w:type="dxa"/>
          </w:tcMar>
          <w:vAlign w:val="center"/>
        </w:tcPr>
        <w:p w14:paraId="5D7F6EBD" w14:textId="736CC86D" w:rsidR="00ED54E0" w:rsidRPr="00182B84" w:rsidRDefault="001A3DB8" w:rsidP="00425DC5">
          <w:pPr>
            <w:jc w:val="right"/>
            <w:rPr>
              <w:szCs w:val="16"/>
            </w:rPr>
          </w:pPr>
          <w:r>
            <w:rPr>
              <w:szCs w:val="16"/>
            </w:rPr>
            <w:t>1 June</w:t>
          </w:r>
          <w:r w:rsidR="006538BD">
            <w:rPr>
              <w:szCs w:val="16"/>
            </w:rPr>
            <w:t xml:space="preserve"> 2021</w:t>
          </w:r>
        </w:p>
      </w:tc>
    </w:tr>
    <w:tr w:rsidR="00ED54E0" w:rsidRPr="00182B84" w14:paraId="0499171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B5109B" w14:textId="5A1728B3" w:rsidR="00ED54E0" w:rsidRPr="00182B84" w:rsidRDefault="00ED54E0" w:rsidP="00425DC5">
          <w:pPr>
            <w:jc w:val="left"/>
            <w:rPr>
              <w:b/>
            </w:rPr>
          </w:pPr>
          <w:bookmarkStart w:id="5" w:name="bmkSerial" w:colFirst="0" w:colLast="0"/>
          <w:r w:rsidRPr="00182B84">
            <w:rPr>
              <w:color w:val="FF0000"/>
              <w:szCs w:val="16"/>
            </w:rPr>
            <w:t>(</w:t>
          </w:r>
          <w:r w:rsidR="005B5804">
            <w:rPr>
              <w:color w:val="FF0000"/>
              <w:szCs w:val="16"/>
            </w:rPr>
            <w:t>21</w:t>
          </w:r>
          <w:r w:rsidRPr="00182B84">
            <w:rPr>
              <w:color w:val="FF0000"/>
              <w:szCs w:val="16"/>
            </w:rPr>
            <w:t>-</w:t>
          </w:r>
          <w:r w:rsidR="000772D9">
            <w:rPr>
              <w:color w:val="FF0000"/>
              <w:szCs w:val="16"/>
            </w:rPr>
            <w:t>4535</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E4ABF49" w14:textId="77777777" w:rsidR="00ED54E0" w:rsidRPr="00182B84" w:rsidRDefault="00ED54E0" w:rsidP="00425DC5">
          <w:pPr>
            <w:jc w:val="right"/>
            <w:rPr>
              <w:szCs w:val="16"/>
            </w:rPr>
          </w:pPr>
          <w:bookmarkStart w:id="6"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6"/>
        </w:p>
      </w:tc>
    </w:tr>
    <w:tr w:rsidR="00ED54E0" w:rsidRPr="00182B84" w14:paraId="77E5F22C"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183A82" w14:textId="24A84C77" w:rsidR="00ED54E0" w:rsidRPr="00182B84" w:rsidRDefault="008E36E6" w:rsidP="00425DC5">
          <w:pPr>
            <w:jc w:val="left"/>
            <w:rPr>
              <w:sz w:val="14"/>
              <w:szCs w:val="16"/>
            </w:rPr>
          </w:pPr>
          <w:bookmarkStart w:id="7" w:name="bmkCommittee"/>
          <w:bookmarkStart w:id="8" w:name="bmkLanguage" w:colFirst="1" w:colLast="1"/>
          <w:bookmarkEnd w:id="5"/>
          <w:r>
            <w:rPr>
              <w:b/>
            </w:rPr>
            <w:t>Committee on Sanitary and Phytosanitary Measures</w:t>
          </w:r>
          <w:bookmarkEnd w:id="7"/>
        </w:p>
      </w:tc>
      <w:tc>
        <w:tcPr>
          <w:tcW w:w="3325" w:type="dxa"/>
          <w:tcBorders>
            <w:top w:val="single" w:sz="4" w:space="0" w:color="auto"/>
          </w:tcBorders>
          <w:tcMar>
            <w:top w:w="113" w:type="dxa"/>
            <w:left w:w="108" w:type="dxa"/>
            <w:bottom w:w="57" w:type="dxa"/>
            <w:right w:w="108" w:type="dxa"/>
          </w:tcMar>
          <w:vAlign w:val="center"/>
        </w:tcPr>
        <w:p w14:paraId="3C893C95" w14:textId="4D7ADBF1" w:rsidR="00ED54E0" w:rsidRPr="00182B84" w:rsidRDefault="008E36E6" w:rsidP="00425DC5">
          <w:pPr>
            <w:jc w:val="right"/>
            <w:rPr>
              <w:bCs/>
              <w:szCs w:val="18"/>
            </w:rPr>
          </w:pPr>
          <w:r>
            <w:rPr>
              <w:szCs w:val="18"/>
            </w:rPr>
            <w:t xml:space="preserve"> </w:t>
          </w:r>
        </w:p>
      </w:tc>
    </w:tr>
    <w:bookmarkEnd w:id="8"/>
  </w:tbl>
  <w:p w14:paraId="4B888BDA"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331A"/>
    <w:multiLevelType w:val="hybridMultilevel"/>
    <w:tmpl w:val="34D63C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7CE6FD7"/>
    <w:multiLevelType w:val="hybridMultilevel"/>
    <w:tmpl w:val="7EB8DF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CDD76E1"/>
    <w:multiLevelType w:val="hybridMultilevel"/>
    <w:tmpl w:val="531E2700"/>
    <w:lvl w:ilvl="0" w:tplc="7E249364">
      <w:start w:val="1"/>
      <w:numFmt w:val="bullet"/>
      <w:lvlText w:val=""/>
      <w:lvlJc w:val="left"/>
      <w:pPr>
        <w:ind w:left="-351" w:hanging="360"/>
      </w:pPr>
      <w:rPr>
        <w:rFonts w:ascii="Wingdings" w:hAnsi="Wingdings" w:hint="default"/>
        <w:b w:val="0"/>
        <w:sz w:val="18"/>
      </w:rPr>
    </w:lvl>
    <w:lvl w:ilvl="1" w:tplc="08090003">
      <w:start w:val="1"/>
      <w:numFmt w:val="bullet"/>
      <w:lvlText w:val="o"/>
      <w:lvlJc w:val="left"/>
      <w:pPr>
        <w:ind w:left="369" w:hanging="360"/>
      </w:pPr>
      <w:rPr>
        <w:rFonts w:ascii="Courier New" w:hAnsi="Courier New" w:cs="Courier New" w:hint="default"/>
      </w:rPr>
    </w:lvl>
    <w:lvl w:ilvl="2" w:tplc="08090005">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3" w15:restartNumberingAfterBreak="0">
    <w:nsid w:val="47B82815"/>
    <w:multiLevelType w:val="hybridMultilevel"/>
    <w:tmpl w:val="D7AC81A8"/>
    <w:lvl w:ilvl="0" w:tplc="04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075A666C"/>
    <w:numStyleLink w:val="LegalHeadings"/>
  </w:abstractNum>
  <w:abstractNum w:abstractNumId="16"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6"/>
    <w:lvlOverride w:ilvl="0">
      <w:lvl w:ilvl="0">
        <w:start w:val="1"/>
        <w:numFmt w:val="decimal"/>
        <w:pStyle w:val="Heading1"/>
        <w:isLgl/>
        <w:suff w:val="nothing"/>
        <w:lvlText w:val="%1  "/>
        <w:lvlJc w:val="left"/>
        <w:pPr>
          <w:ind w:left="0" w:firstLine="0"/>
        </w:pPr>
        <w:rPr>
          <w:rFonts w:hint="default"/>
          <w:i w:val="0"/>
          <w:iCs w:val="0"/>
        </w:rPr>
      </w:lvl>
    </w:lvlOverride>
    <w:lvlOverride w:ilvl="1">
      <w:lvl w:ilvl="1">
        <w:start w:val="1"/>
        <w:numFmt w:val="decimal"/>
        <w:pStyle w:val="Heading2"/>
        <w:isLgl/>
        <w:suff w:val="nothing"/>
        <w:lvlText w:val="%1.%2  "/>
        <w:lvlJc w:val="left"/>
        <w:pPr>
          <w:ind w:left="0" w:firstLine="0"/>
        </w:pPr>
        <w:rPr>
          <w:rFonts w:hint="default"/>
          <w:i w:val="0"/>
          <w:iCs w:val="0"/>
        </w:rPr>
      </w:lvl>
    </w:lvlOverride>
  </w:num>
  <w:num w:numId="17">
    <w:abstractNumId w:val="12"/>
  </w:num>
  <w:num w:numId="18">
    <w:abstractNumId w:val="11"/>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BD"/>
    <w:rsid w:val="000272F6"/>
    <w:rsid w:val="00037AC4"/>
    <w:rsid w:val="000423BF"/>
    <w:rsid w:val="000772D9"/>
    <w:rsid w:val="000A4945"/>
    <w:rsid w:val="000A7399"/>
    <w:rsid w:val="000B31E1"/>
    <w:rsid w:val="000D00BF"/>
    <w:rsid w:val="0011356B"/>
    <w:rsid w:val="0013337F"/>
    <w:rsid w:val="00182B84"/>
    <w:rsid w:val="00190476"/>
    <w:rsid w:val="00192F7D"/>
    <w:rsid w:val="001A3DB8"/>
    <w:rsid w:val="001E291F"/>
    <w:rsid w:val="00207901"/>
    <w:rsid w:val="00233408"/>
    <w:rsid w:val="0027067B"/>
    <w:rsid w:val="003156C6"/>
    <w:rsid w:val="003572B4"/>
    <w:rsid w:val="003944D2"/>
    <w:rsid w:val="003C54B5"/>
    <w:rsid w:val="0044408D"/>
    <w:rsid w:val="00467032"/>
    <w:rsid w:val="0046754A"/>
    <w:rsid w:val="00471B96"/>
    <w:rsid w:val="004F203A"/>
    <w:rsid w:val="005336B8"/>
    <w:rsid w:val="00544326"/>
    <w:rsid w:val="00547B5F"/>
    <w:rsid w:val="005A1A22"/>
    <w:rsid w:val="005B04B9"/>
    <w:rsid w:val="005B5804"/>
    <w:rsid w:val="005B68C7"/>
    <w:rsid w:val="005B7054"/>
    <w:rsid w:val="005D5981"/>
    <w:rsid w:val="005F30CB"/>
    <w:rsid w:val="00612644"/>
    <w:rsid w:val="006324B7"/>
    <w:rsid w:val="006538BD"/>
    <w:rsid w:val="00674CCD"/>
    <w:rsid w:val="006D039B"/>
    <w:rsid w:val="006F5826"/>
    <w:rsid w:val="00700181"/>
    <w:rsid w:val="007141CF"/>
    <w:rsid w:val="00745146"/>
    <w:rsid w:val="00745F3E"/>
    <w:rsid w:val="007577E3"/>
    <w:rsid w:val="00760DB3"/>
    <w:rsid w:val="00763E11"/>
    <w:rsid w:val="007E1104"/>
    <w:rsid w:val="007E6507"/>
    <w:rsid w:val="007F2B8E"/>
    <w:rsid w:val="007F32D1"/>
    <w:rsid w:val="00807247"/>
    <w:rsid w:val="00840C2B"/>
    <w:rsid w:val="00850375"/>
    <w:rsid w:val="0087083F"/>
    <w:rsid w:val="008739FD"/>
    <w:rsid w:val="00893E85"/>
    <w:rsid w:val="008E36E6"/>
    <w:rsid w:val="008E372C"/>
    <w:rsid w:val="00927073"/>
    <w:rsid w:val="00930450"/>
    <w:rsid w:val="009345E6"/>
    <w:rsid w:val="0094229D"/>
    <w:rsid w:val="009A5B01"/>
    <w:rsid w:val="009A6F54"/>
    <w:rsid w:val="009B2362"/>
    <w:rsid w:val="00A52A6D"/>
    <w:rsid w:val="00A6057A"/>
    <w:rsid w:val="00A74017"/>
    <w:rsid w:val="00A84230"/>
    <w:rsid w:val="00AA332C"/>
    <w:rsid w:val="00AB139C"/>
    <w:rsid w:val="00AC27F8"/>
    <w:rsid w:val="00AD4C72"/>
    <w:rsid w:val="00AE2AEE"/>
    <w:rsid w:val="00B00276"/>
    <w:rsid w:val="00B06C49"/>
    <w:rsid w:val="00B230EC"/>
    <w:rsid w:val="00B370FE"/>
    <w:rsid w:val="00B52738"/>
    <w:rsid w:val="00B5476A"/>
    <w:rsid w:val="00B56EDC"/>
    <w:rsid w:val="00B9174C"/>
    <w:rsid w:val="00BB1F84"/>
    <w:rsid w:val="00BD5772"/>
    <w:rsid w:val="00BE5468"/>
    <w:rsid w:val="00C05817"/>
    <w:rsid w:val="00C11EAC"/>
    <w:rsid w:val="00C15F6D"/>
    <w:rsid w:val="00C305D7"/>
    <w:rsid w:val="00C30F2A"/>
    <w:rsid w:val="00C43456"/>
    <w:rsid w:val="00C65C0C"/>
    <w:rsid w:val="00C808FC"/>
    <w:rsid w:val="00CD7D97"/>
    <w:rsid w:val="00CE3EE6"/>
    <w:rsid w:val="00CE4BA1"/>
    <w:rsid w:val="00D000C7"/>
    <w:rsid w:val="00D221B8"/>
    <w:rsid w:val="00D25C09"/>
    <w:rsid w:val="00D34B55"/>
    <w:rsid w:val="00D52A9D"/>
    <w:rsid w:val="00D55AAD"/>
    <w:rsid w:val="00D67119"/>
    <w:rsid w:val="00D747AE"/>
    <w:rsid w:val="00D9226C"/>
    <w:rsid w:val="00DA20BD"/>
    <w:rsid w:val="00DD6C92"/>
    <w:rsid w:val="00DE50DB"/>
    <w:rsid w:val="00DF6AE1"/>
    <w:rsid w:val="00E46FD5"/>
    <w:rsid w:val="00E544BB"/>
    <w:rsid w:val="00E56545"/>
    <w:rsid w:val="00EA5D4F"/>
    <w:rsid w:val="00EB6C56"/>
    <w:rsid w:val="00ED1D47"/>
    <w:rsid w:val="00ED54E0"/>
    <w:rsid w:val="00EE03C3"/>
    <w:rsid w:val="00F04A9D"/>
    <w:rsid w:val="00F07DD3"/>
    <w:rsid w:val="00F31FF3"/>
    <w:rsid w:val="00F32397"/>
    <w:rsid w:val="00F40595"/>
    <w:rsid w:val="00FA5EBC"/>
    <w:rsid w:val="00FD0609"/>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83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8BD"/>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e 1,L"/>
    <w:basedOn w:val="Normal"/>
    <w:link w:val="ListParagraphChar"/>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6538BD"/>
    <w:rPr>
      <w:rFonts w:ascii="Verdana" w:hAnsi="Verdana"/>
      <w:sz w:val="18"/>
    </w:rPr>
  </w:style>
  <w:style w:type="paragraph" w:styleId="Revision">
    <w:name w:val="Revision"/>
    <w:hidden/>
    <w:uiPriority w:val="99"/>
    <w:semiHidden/>
    <w:rsid w:val="00EE03C3"/>
    <w:pPr>
      <w:spacing w:after="0" w:line="240" w:lineRule="auto"/>
    </w:pPr>
    <w:rPr>
      <w:rFonts w:ascii="Verdana" w:eastAsia="Calibri" w:hAnsi="Verdana" w:cs="Times New Roman"/>
      <w:sz w:val="18"/>
    </w:rPr>
  </w:style>
  <w:style w:type="character" w:styleId="UnresolvedMention">
    <w:name w:val="Unresolved Mention"/>
    <w:basedOn w:val="DefaultParagraphFont"/>
    <w:uiPriority w:val="99"/>
    <w:semiHidden/>
    <w:unhideWhenUsed/>
    <w:rsid w:val="00763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691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ocs.wto.org/dol2fe/Pages/FE_Search/FE_S_S006.aspx?MetaCollection=WTO&amp;SymbolList=%22G%2fSPS%2fGEN%2f1769%2fRev.1%22+OR+%22G%2fSPS%2fGEN%2f1769%2fRev.1%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 Type="http://schemas.openxmlformats.org/officeDocument/2006/relationships/hyperlink" Target="https://docs.wto.org/dol2fe/Pages/FE_Search/FE_S_S006.aspx?MetaCollection=WTO&amp;SymbolList=%22G%2fSPS%2fGEN%2f1769%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eche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5</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2021-06-16T09:08:00Z</dcterms:created>
  <dcterms:modified xsi:type="dcterms:W3CDTF">2021-06-16T09:10:00Z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c5b96f11-bb4f-4240-867c-b49959015c88</vt:lpwstr>
  </property>
  <property fmtid="{D5CDD505-2E9C-101B-9397-08002B2CF9AE}" pid="3" name="Symbol1">
    <vt:lpwstr>G/SPS/GEN/1911</vt:lpwstr>
  </property>
  <property fmtid="{D5CDD505-2E9C-101B-9397-08002B2CF9AE}" pid="4" name="WTOCLASSIFICATION">
    <vt:lpwstr>WTO OFFICIAL</vt:lpwstr>
  </property>
</Properties>
</file>