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7E8A9" w14:textId="28515AC6" w:rsidR="00732D62" w:rsidRDefault="00732D62" w:rsidP="00A258FC">
      <w:pPr>
        <w:pStyle w:val="Title"/>
        <w:ind w:left="426"/>
        <w:jc w:val="left"/>
      </w:pPr>
      <w:bookmarkStart w:id="0" w:name="_GoBack"/>
      <w:bookmarkEnd w:id="0"/>
      <w:r>
        <w:rPr>
          <w:noProof/>
          <w:lang w:val="en-US" w:eastAsia="zh-TW"/>
        </w:rPr>
        <w:drawing>
          <wp:inline distT="0" distB="0" distL="0" distR="0" wp14:anchorId="0BE5EA0C" wp14:editId="0E509372">
            <wp:extent cx="762000" cy="789674"/>
            <wp:effectExtent l="0" t="0" r="0" b="0"/>
            <wp:docPr id="5" name="Picture 7" descr="LOGO_COLOR">
              <a:extLst xmlns:a="http://schemas.openxmlformats.org/drawingml/2006/main">
                <a:ext uri="{FF2B5EF4-FFF2-40B4-BE49-F238E27FC236}">
                  <a16:creationId xmlns:a16="http://schemas.microsoft.com/office/drawing/2014/main" id="{A4B1728B-1F2B-4662-840A-4903E3F4C9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LOGO_COLOR">
                      <a:extLst>
                        <a:ext uri="{FF2B5EF4-FFF2-40B4-BE49-F238E27FC236}">
                          <a16:creationId xmlns:a16="http://schemas.microsoft.com/office/drawing/2014/main" id="{A4B1728B-1F2B-4662-840A-4903E3F4C9E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33" cy="84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3F3">
        <w:rPr>
          <w:rFonts w:hint="eastAsia"/>
          <w:lang w:eastAsia="zh-TW"/>
        </w:rPr>
        <w:t xml:space="preserve">                                                                                      </w:t>
      </w:r>
      <w:r w:rsidR="00060204">
        <w:pict w14:anchorId="102232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pt;height:72.5pt">
            <v:imagedata r:id="rId9" o:title="LOGO"/>
          </v:shape>
        </w:pict>
      </w:r>
    </w:p>
    <w:p w14:paraId="6B8AE081" w14:textId="77777777" w:rsidR="00732D62" w:rsidRDefault="00732D62" w:rsidP="008A3204">
      <w:pPr>
        <w:pStyle w:val="Title"/>
      </w:pPr>
    </w:p>
    <w:p w14:paraId="55E24C72" w14:textId="77777777" w:rsidR="00732D62" w:rsidRDefault="00732D62" w:rsidP="008A3204">
      <w:pPr>
        <w:pStyle w:val="Title"/>
      </w:pPr>
    </w:p>
    <w:p w14:paraId="1B202F74" w14:textId="77777777" w:rsidR="00732D62" w:rsidRDefault="00732D62" w:rsidP="008A3204">
      <w:pPr>
        <w:pStyle w:val="Title"/>
      </w:pPr>
    </w:p>
    <w:p w14:paraId="7DBA0E6E" w14:textId="76B5C260" w:rsidR="00476333" w:rsidRDefault="00386F1A" w:rsidP="008A3204">
      <w:pPr>
        <w:pStyle w:val="Title"/>
      </w:pPr>
      <w:r>
        <w:t>Webinar Series</w:t>
      </w:r>
      <w:r w:rsidR="0080111B">
        <w:t xml:space="preserve"> on </w:t>
      </w:r>
      <w:r w:rsidR="009A45C9">
        <w:t>E-Commerce and Services Domestic Regulation for Chinese Taipei</w:t>
      </w:r>
    </w:p>
    <w:p w14:paraId="261F29A6" w14:textId="77777777" w:rsidR="00476333" w:rsidRDefault="00476333" w:rsidP="008A3204">
      <w:pPr>
        <w:pStyle w:val="Title"/>
      </w:pPr>
    </w:p>
    <w:p w14:paraId="02B9C44E" w14:textId="303DC44B" w:rsidR="0039413A" w:rsidRDefault="009A45C9" w:rsidP="008A3204">
      <w:pPr>
        <w:pStyle w:val="Title"/>
      </w:pPr>
      <w:r>
        <w:t>24, 25, and 27</w:t>
      </w:r>
      <w:r w:rsidR="00476333">
        <w:t xml:space="preserve"> </w:t>
      </w:r>
      <w:r>
        <w:t>November</w:t>
      </w:r>
      <w:r w:rsidR="00476333">
        <w:t xml:space="preserve"> 2020</w:t>
      </w:r>
      <w:r w:rsidR="0080111B">
        <w:t xml:space="preserve"> </w:t>
      </w:r>
    </w:p>
    <w:p w14:paraId="4D751845" w14:textId="512542C2" w:rsidR="00CC05F5" w:rsidRDefault="00CC05F5" w:rsidP="008A7BB6"/>
    <w:p w14:paraId="36EB70E9" w14:textId="41B1FA1F" w:rsidR="00CC05F5" w:rsidRPr="00476333" w:rsidRDefault="00CC05F5" w:rsidP="00CC05F5">
      <w:pPr>
        <w:pStyle w:val="ListParagraph"/>
        <w:numPr>
          <w:ilvl w:val="0"/>
          <w:numId w:val="18"/>
        </w:numPr>
        <w:spacing w:after="120"/>
        <w:contextualSpacing w:val="0"/>
        <w:rPr>
          <w:i/>
          <w:iCs/>
        </w:rPr>
      </w:pPr>
      <w:r w:rsidRPr="00476333">
        <w:rPr>
          <w:u w:val="single"/>
        </w:rPr>
        <w:t>Format</w:t>
      </w:r>
      <w:r w:rsidRPr="00476333">
        <w:t xml:space="preserve">:  </w:t>
      </w:r>
      <w:r w:rsidR="009A45C9">
        <w:t>3</w:t>
      </w:r>
      <w:r w:rsidRPr="00476333">
        <w:t xml:space="preserve"> sessions of 2 h</w:t>
      </w:r>
      <w:r w:rsidR="005938CD" w:rsidRPr="00476333">
        <w:t xml:space="preserve"> each</w:t>
      </w:r>
    </w:p>
    <w:p w14:paraId="2C384C1B" w14:textId="350423AF" w:rsidR="00CC05F5" w:rsidRDefault="00CC05F5" w:rsidP="00CC05F5">
      <w:pPr>
        <w:pStyle w:val="ListParagraph"/>
        <w:numPr>
          <w:ilvl w:val="0"/>
          <w:numId w:val="18"/>
        </w:numPr>
        <w:spacing w:after="120"/>
        <w:contextualSpacing w:val="0"/>
      </w:pPr>
      <w:r w:rsidRPr="009C5F6C">
        <w:rPr>
          <w:u w:val="single"/>
        </w:rPr>
        <w:t>Platform</w:t>
      </w:r>
      <w:r>
        <w:t xml:space="preserve">: </w:t>
      </w:r>
      <w:r w:rsidR="009A45C9">
        <w:t xml:space="preserve">Cisco </w:t>
      </w:r>
      <w:proofErr w:type="spellStart"/>
      <w:r w:rsidR="009A45C9">
        <w:t>Webex</w:t>
      </w:r>
      <w:proofErr w:type="spellEnd"/>
      <w:r w:rsidR="005938CD">
        <w:t xml:space="preserve"> (facilitated by</w:t>
      </w:r>
      <w:r w:rsidR="00732D62">
        <w:t xml:space="preserve"> </w:t>
      </w:r>
      <w:r w:rsidR="009A45C9">
        <w:t>Chinese Taipei</w:t>
      </w:r>
      <w:r w:rsidR="005938CD">
        <w:t>)</w:t>
      </w:r>
      <w:r w:rsidR="009A45C9">
        <w:t xml:space="preserve">; </w:t>
      </w:r>
    </w:p>
    <w:p w14:paraId="2BE2F19D" w14:textId="251E290F" w:rsidR="008273F8" w:rsidRDefault="001306AE" w:rsidP="001306AE">
      <w:pPr>
        <w:pStyle w:val="ListParagraph"/>
        <w:numPr>
          <w:ilvl w:val="0"/>
          <w:numId w:val="18"/>
        </w:numPr>
        <w:spacing w:after="120"/>
      </w:pPr>
      <w:r w:rsidRPr="001306AE">
        <w:rPr>
          <w:u w:val="single"/>
        </w:rPr>
        <w:t>Objectives</w:t>
      </w:r>
      <w:r>
        <w:t>:</w:t>
      </w:r>
    </w:p>
    <w:p w14:paraId="1119E484" w14:textId="77777777" w:rsidR="001306AE" w:rsidRDefault="001306AE" w:rsidP="001306AE">
      <w:pPr>
        <w:pStyle w:val="ListParagraph"/>
        <w:spacing w:after="120"/>
      </w:pPr>
    </w:p>
    <w:p w14:paraId="75E32A0E" w14:textId="1E2621AE" w:rsidR="001306AE" w:rsidRPr="00420A38" w:rsidRDefault="001306AE" w:rsidP="001306AE">
      <w:pPr>
        <w:pStyle w:val="ListParagraph"/>
        <w:numPr>
          <w:ilvl w:val="1"/>
          <w:numId w:val="18"/>
        </w:numPr>
        <w:spacing w:after="120"/>
        <w:ind w:left="1434" w:hanging="357"/>
        <w:contextualSpacing w:val="0"/>
      </w:pPr>
      <w:r>
        <w:t xml:space="preserve">Familiarize participants with major trends in </w:t>
      </w:r>
      <w:r w:rsidR="00386F1A">
        <w:t xml:space="preserve">electronic commerce, the application of the </w:t>
      </w:r>
      <w:r w:rsidR="00386F1A" w:rsidRPr="00420A38">
        <w:t xml:space="preserve">GATS to e-commerce, and developments on in WTO work programme and the </w:t>
      </w:r>
      <w:r w:rsidR="00FA0B19" w:rsidRPr="00420A38">
        <w:rPr>
          <w:lang w:eastAsia="zh-TW"/>
        </w:rPr>
        <w:t>discussions</w:t>
      </w:r>
      <w:r w:rsidR="00386F1A" w:rsidRPr="00420A38">
        <w:t xml:space="preserve"> in the Joint Statement Initiative.</w:t>
      </w:r>
    </w:p>
    <w:p w14:paraId="017A4D19" w14:textId="0A94E906" w:rsidR="001306AE" w:rsidRDefault="00E937C2" w:rsidP="001306AE">
      <w:pPr>
        <w:pStyle w:val="ListParagraph"/>
        <w:numPr>
          <w:ilvl w:val="1"/>
          <w:numId w:val="18"/>
        </w:numPr>
        <w:spacing w:after="120"/>
        <w:ind w:left="1434" w:hanging="357"/>
        <w:contextualSpacing w:val="0"/>
      </w:pPr>
      <w:r w:rsidRPr="00420A38">
        <w:t xml:space="preserve">Update </w:t>
      </w:r>
      <w:r w:rsidR="001306AE" w:rsidRPr="00420A38">
        <w:t>participants o</w:t>
      </w:r>
      <w:r w:rsidRPr="00420A38">
        <w:t xml:space="preserve">n the state of play in the </w:t>
      </w:r>
      <w:r w:rsidR="00FA0B19" w:rsidRPr="00420A38">
        <w:rPr>
          <w:lang w:eastAsia="zh-TW"/>
        </w:rPr>
        <w:t>discussions</w:t>
      </w:r>
      <w:r w:rsidRPr="00420A38">
        <w:t xml:space="preserve"> </w:t>
      </w:r>
      <w:r>
        <w:t>on services domestic regulation</w:t>
      </w:r>
      <w:r w:rsidR="00386F1A">
        <w:t xml:space="preserve"> in the Joint Initiative</w:t>
      </w:r>
    </w:p>
    <w:p w14:paraId="35F32519" w14:textId="77777777" w:rsidR="00A258FC" w:rsidRDefault="00A258FC" w:rsidP="00A258FC">
      <w:pPr>
        <w:pStyle w:val="ListParagraph"/>
        <w:spacing w:after="120"/>
        <w:ind w:left="1434"/>
        <w:contextualSpacing w:val="0"/>
      </w:pPr>
    </w:p>
    <w:p w14:paraId="5FBAFEF7" w14:textId="20A9B892" w:rsidR="008A3204" w:rsidRDefault="008A3204" w:rsidP="008A3204">
      <w:pPr>
        <w:spacing w:after="120"/>
        <w:jc w:val="center"/>
        <w:rPr>
          <w:b/>
        </w:rPr>
      </w:pPr>
      <w:r>
        <w:rPr>
          <w:b/>
        </w:rPr>
        <w:t>_______________</w:t>
      </w:r>
    </w:p>
    <w:p w14:paraId="7CD4C71C" w14:textId="139D5341" w:rsidR="00596230" w:rsidRDefault="00596230">
      <w:pPr>
        <w:spacing w:after="200" w:line="276" w:lineRule="auto"/>
        <w:jc w:val="left"/>
      </w:pPr>
      <w:r>
        <w:br w:type="page"/>
      </w:r>
    </w:p>
    <w:p w14:paraId="71D345AF" w14:textId="253BCABE" w:rsidR="00596230" w:rsidRPr="008273F8" w:rsidRDefault="00596230" w:rsidP="00596230">
      <w:pPr>
        <w:pStyle w:val="Title2"/>
      </w:pPr>
      <w:r w:rsidRPr="008273F8">
        <w:lastRenderedPageBreak/>
        <w:t>Programme</w:t>
      </w:r>
      <w:r>
        <w:t xml:space="preserve"> </w:t>
      </w:r>
    </w:p>
    <w:p w14:paraId="1B025CC9" w14:textId="783E2E33" w:rsidR="001A790F" w:rsidRPr="001A790F" w:rsidRDefault="00351BC9" w:rsidP="001A790F">
      <w:pPr>
        <w:pStyle w:val="Title"/>
        <w:jc w:val="left"/>
      </w:pPr>
      <w:r>
        <w:t xml:space="preserve">WEBINAR 1:   </w:t>
      </w:r>
      <w:r w:rsidR="001A790F" w:rsidRPr="001A790F">
        <w:t>E-COMMERCE I</w:t>
      </w:r>
    </w:p>
    <w:p w14:paraId="3158A469" w14:textId="77777777" w:rsidR="001A790F" w:rsidRDefault="001A790F" w:rsidP="008273F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Tuesday, 24</w:t>
      </w:r>
      <w:r w:rsidRPr="00763089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  <w:lang w:val="en-US"/>
        </w:rPr>
        <w:t>November</w:t>
      </w:r>
      <w:r w:rsidRPr="00763089">
        <w:rPr>
          <w:b/>
          <w:bCs/>
          <w:i/>
          <w:iCs/>
          <w:u w:val="single"/>
          <w:lang w:val="en-US"/>
        </w:rPr>
        <w:t xml:space="preserve"> </w:t>
      </w:r>
      <w:r w:rsidRPr="00763089">
        <w:rPr>
          <w:b/>
          <w:bCs/>
          <w:i/>
          <w:iCs/>
          <w:u w:val="single"/>
        </w:rPr>
        <w:t>2020, 09:00 – 11:00 (G</w:t>
      </w:r>
      <w:r>
        <w:rPr>
          <w:b/>
          <w:bCs/>
          <w:i/>
          <w:iCs/>
          <w:u w:val="single"/>
        </w:rPr>
        <w:t>ene</w:t>
      </w:r>
      <w:r w:rsidRPr="00763089">
        <w:rPr>
          <w:b/>
          <w:bCs/>
          <w:i/>
          <w:iCs/>
          <w:u w:val="single"/>
        </w:rPr>
        <w:t>va</w:t>
      </w:r>
      <w:proofErr w:type="gramStart"/>
      <w:r w:rsidRPr="00763089">
        <w:rPr>
          <w:b/>
          <w:bCs/>
          <w:i/>
          <w:iCs/>
          <w:u w:val="single"/>
        </w:rPr>
        <w:t>)</w:t>
      </w:r>
      <w:r>
        <w:rPr>
          <w:b/>
          <w:bCs/>
          <w:i/>
          <w:iCs/>
          <w:u w:val="single"/>
        </w:rPr>
        <w:t>,  16</w:t>
      </w:r>
      <w:proofErr w:type="gramEnd"/>
      <w:r>
        <w:rPr>
          <w:b/>
          <w:bCs/>
          <w:i/>
          <w:iCs/>
          <w:u w:val="single"/>
        </w:rPr>
        <w:t>:00 – 18:00 (Taipei)</w:t>
      </w:r>
    </w:p>
    <w:p w14:paraId="3F484FBE" w14:textId="77777777" w:rsidR="001A790F" w:rsidRDefault="001A790F" w:rsidP="008273F8">
      <w:pPr>
        <w:rPr>
          <w:b/>
          <w:bCs/>
          <w:i/>
          <w:iCs/>
          <w:u w:val="single"/>
        </w:rPr>
      </w:pPr>
    </w:p>
    <w:p w14:paraId="64E32FF5" w14:textId="30A8300E" w:rsidR="008A3204" w:rsidRPr="001A790F" w:rsidRDefault="008A3204" w:rsidP="008273F8">
      <w:pPr>
        <w:rPr>
          <w:rFonts w:ascii="Calibri" w:hAnsi="Calibri"/>
          <w:sz w:val="22"/>
        </w:rPr>
      </w:pPr>
      <w:r w:rsidRPr="00351BC9">
        <w:rPr>
          <w:u w:val="single"/>
        </w:rPr>
        <w:t>Resource person</w:t>
      </w:r>
      <w:r w:rsidRPr="001A790F">
        <w:t xml:space="preserve">: </w:t>
      </w:r>
      <w:r w:rsidR="001A790F" w:rsidRPr="001A790F">
        <w:rPr>
          <w:i/>
          <w:iCs/>
        </w:rPr>
        <w:t>Ms Lee TUTHILL</w:t>
      </w:r>
    </w:p>
    <w:p w14:paraId="609FA3EC" w14:textId="77777777" w:rsidR="008273F8" w:rsidRPr="001A790F" w:rsidRDefault="008273F8" w:rsidP="008273F8"/>
    <w:p w14:paraId="4943A99C" w14:textId="3BD25A31" w:rsidR="009A45C9" w:rsidRPr="009A45C9" w:rsidRDefault="009A45C9" w:rsidP="001A790F">
      <w:pPr>
        <w:spacing w:after="120"/>
        <w:rPr>
          <w:rFonts w:eastAsia="Times New Roman"/>
          <w:b/>
          <w:bCs/>
          <w:lang w:val="en-US"/>
        </w:rPr>
      </w:pPr>
      <w:r w:rsidRPr="009A45C9">
        <w:rPr>
          <w:rFonts w:eastAsia="Times New Roman"/>
          <w:b/>
          <w:bCs/>
          <w:lang w:val="en-US"/>
        </w:rPr>
        <w:t xml:space="preserve">Trends in e-commerce, including Impact of the </w:t>
      </w:r>
      <w:r w:rsidR="001A790F" w:rsidRPr="001A790F">
        <w:rPr>
          <w:rFonts w:eastAsia="Times New Roman"/>
          <w:b/>
          <w:bCs/>
          <w:lang w:val="en-US"/>
        </w:rPr>
        <w:t>P</w:t>
      </w:r>
      <w:r w:rsidRPr="009A45C9">
        <w:rPr>
          <w:rFonts w:eastAsia="Times New Roman"/>
          <w:b/>
          <w:bCs/>
          <w:lang w:val="en-US"/>
        </w:rPr>
        <w:t>andemic</w:t>
      </w:r>
    </w:p>
    <w:p w14:paraId="43CEA189" w14:textId="77777777" w:rsidR="009A45C9" w:rsidRPr="009A45C9" w:rsidRDefault="009A45C9" w:rsidP="00FB356F">
      <w:pPr>
        <w:numPr>
          <w:ilvl w:val="0"/>
          <w:numId w:val="23"/>
        </w:numPr>
        <w:spacing w:after="120"/>
        <w:ind w:left="714" w:hanging="357"/>
        <w:rPr>
          <w:rFonts w:eastAsia="Times New Roman"/>
        </w:rPr>
      </w:pPr>
      <w:r w:rsidRPr="009A45C9">
        <w:rPr>
          <w:rFonts w:eastAsia="Times New Roman"/>
          <w:lang w:val="en-US"/>
        </w:rPr>
        <w:t>Tec</w:t>
      </w:r>
      <w:proofErr w:type="spellStart"/>
      <w:r w:rsidRPr="009A45C9">
        <w:rPr>
          <w:rFonts w:eastAsia="Times New Roman"/>
        </w:rPr>
        <w:t>hnology</w:t>
      </w:r>
      <w:proofErr w:type="spellEnd"/>
      <w:r w:rsidRPr="009A45C9">
        <w:rPr>
          <w:rFonts w:eastAsia="Times New Roman"/>
        </w:rPr>
        <w:t xml:space="preserve"> trends (e.g. broadband, cloud, IoT, AI/big data, etc)</w:t>
      </w:r>
    </w:p>
    <w:p w14:paraId="6917D2C5" w14:textId="77777777" w:rsidR="009A45C9" w:rsidRPr="009A45C9" w:rsidRDefault="009A45C9" w:rsidP="00FB356F">
      <w:pPr>
        <w:numPr>
          <w:ilvl w:val="0"/>
          <w:numId w:val="23"/>
        </w:numPr>
        <w:spacing w:after="120"/>
        <w:ind w:left="714" w:hanging="357"/>
        <w:rPr>
          <w:rFonts w:eastAsia="Times New Roman"/>
        </w:rPr>
      </w:pPr>
      <w:r w:rsidRPr="009A45C9">
        <w:rPr>
          <w:rFonts w:eastAsia="Times New Roman"/>
        </w:rPr>
        <w:t>Trends in e-commerce post pandemic and future prospects</w:t>
      </w:r>
    </w:p>
    <w:p w14:paraId="51FDACC7" w14:textId="77777777" w:rsidR="009A45C9" w:rsidRPr="009A45C9" w:rsidRDefault="009A45C9" w:rsidP="00FB356F">
      <w:pPr>
        <w:numPr>
          <w:ilvl w:val="0"/>
          <w:numId w:val="23"/>
        </w:numPr>
        <w:spacing w:after="120"/>
        <w:ind w:left="714" w:hanging="357"/>
        <w:rPr>
          <w:rFonts w:eastAsia="Times New Roman"/>
        </w:rPr>
      </w:pPr>
      <w:r w:rsidRPr="009A45C9">
        <w:rPr>
          <w:rFonts w:eastAsia="Times New Roman"/>
        </w:rPr>
        <w:t>How technology is affecting e-commerce and services trade</w:t>
      </w:r>
    </w:p>
    <w:p w14:paraId="0BDA26A3" w14:textId="77777777" w:rsidR="009A45C9" w:rsidRPr="009A45C9" w:rsidRDefault="009A45C9" w:rsidP="00FB356F">
      <w:pPr>
        <w:numPr>
          <w:ilvl w:val="0"/>
          <w:numId w:val="23"/>
        </w:numPr>
        <w:spacing w:after="120"/>
        <w:ind w:left="714" w:hanging="357"/>
        <w:rPr>
          <w:rFonts w:eastAsia="Times New Roman"/>
        </w:rPr>
      </w:pPr>
      <w:r w:rsidRPr="009A45C9">
        <w:rPr>
          <w:rFonts w:eastAsia="Times New Roman"/>
        </w:rPr>
        <w:t>Emerging regulations and barriers</w:t>
      </w:r>
    </w:p>
    <w:p w14:paraId="4B08F49C" w14:textId="77777777" w:rsidR="009A45C9" w:rsidRPr="009A45C9" w:rsidRDefault="009A45C9" w:rsidP="001A790F">
      <w:pPr>
        <w:spacing w:after="120"/>
        <w:contextualSpacing/>
        <w:rPr>
          <w:rFonts w:eastAsia="Times New Roman"/>
          <w:lang w:val="en-US"/>
        </w:rPr>
      </w:pPr>
      <w:r w:rsidRPr="009A45C9">
        <w:rPr>
          <w:rFonts w:eastAsia="Times New Roman"/>
          <w:lang w:val="en-US"/>
        </w:rPr>
        <w:t> </w:t>
      </w:r>
    </w:p>
    <w:p w14:paraId="319CE3C2" w14:textId="4AEF9807" w:rsidR="009A45C9" w:rsidRPr="001A790F" w:rsidRDefault="009A45C9" w:rsidP="009A45C9">
      <w:pPr>
        <w:rPr>
          <w:rFonts w:eastAsia="Times New Roman"/>
          <w:b/>
          <w:bCs/>
          <w:lang w:val="en-US"/>
        </w:rPr>
      </w:pPr>
      <w:r w:rsidRPr="009A45C9">
        <w:rPr>
          <w:rFonts w:eastAsia="Times New Roman"/>
          <w:b/>
          <w:bCs/>
          <w:lang w:val="en-US"/>
        </w:rPr>
        <w:t>E-commerce and GATS</w:t>
      </w:r>
    </w:p>
    <w:p w14:paraId="64A811B8" w14:textId="77777777" w:rsidR="001A790F" w:rsidRPr="009A45C9" w:rsidRDefault="001A790F" w:rsidP="009A45C9">
      <w:pPr>
        <w:rPr>
          <w:rFonts w:eastAsia="Times New Roman"/>
          <w:lang w:val="en-US"/>
        </w:rPr>
      </w:pPr>
    </w:p>
    <w:p w14:paraId="6ADA5035" w14:textId="77777777" w:rsidR="009A45C9" w:rsidRPr="009A45C9" w:rsidRDefault="009A45C9" w:rsidP="00FB356F">
      <w:pPr>
        <w:numPr>
          <w:ilvl w:val="0"/>
          <w:numId w:val="23"/>
        </w:numPr>
        <w:spacing w:after="120"/>
        <w:ind w:left="714" w:hanging="357"/>
        <w:rPr>
          <w:rFonts w:eastAsia="Times New Roman"/>
        </w:rPr>
      </w:pPr>
      <w:r w:rsidRPr="009A45C9">
        <w:rPr>
          <w:rFonts w:eastAsia="Times New Roman"/>
          <w:lang w:val="en-US"/>
        </w:rPr>
        <w:t>Applica</w:t>
      </w:r>
      <w:proofErr w:type="spellStart"/>
      <w:r w:rsidRPr="009A45C9">
        <w:rPr>
          <w:rFonts w:eastAsia="Times New Roman"/>
        </w:rPr>
        <w:t>bility</w:t>
      </w:r>
      <w:proofErr w:type="spellEnd"/>
      <w:r w:rsidRPr="009A45C9">
        <w:rPr>
          <w:rFonts w:eastAsia="Times New Roman"/>
        </w:rPr>
        <w:t xml:space="preserve"> of GATS provisions to e-commerce</w:t>
      </w:r>
    </w:p>
    <w:p w14:paraId="5443ED13" w14:textId="77777777" w:rsidR="009A45C9" w:rsidRPr="009A45C9" w:rsidRDefault="009A45C9" w:rsidP="00FB356F">
      <w:pPr>
        <w:numPr>
          <w:ilvl w:val="0"/>
          <w:numId w:val="23"/>
        </w:numPr>
        <w:spacing w:after="120"/>
        <w:ind w:left="714" w:hanging="357"/>
        <w:rPr>
          <w:rFonts w:eastAsia="Times New Roman"/>
        </w:rPr>
      </w:pPr>
      <w:r w:rsidRPr="009A45C9">
        <w:rPr>
          <w:rFonts w:eastAsia="Times New Roman"/>
        </w:rPr>
        <w:t>Services as infrastructure of e-commerce (telecom, computer services, postal/delivery and distribution services platforms)</w:t>
      </w:r>
    </w:p>
    <w:p w14:paraId="4CEADA6D" w14:textId="77777777" w:rsidR="009A45C9" w:rsidRPr="009A45C9" w:rsidRDefault="009A45C9" w:rsidP="00FB356F">
      <w:pPr>
        <w:numPr>
          <w:ilvl w:val="0"/>
          <w:numId w:val="23"/>
        </w:numPr>
        <w:spacing w:after="120"/>
        <w:ind w:left="714" w:hanging="357"/>
        <w:rPr>
          <w:rFonts w:eastAsia="Times New Roman"/>
        </w:rPr>
      </w:pPr>
      <w:r w:rsidRPr="009A45C9">
        <w:rPr>
          <w:rFonts w:eastAsia="Times New Roman"/>
        </w:rPr>
        <w:t>GATS coverage of e-commerce in services: B2C and B2B (professional, business services, education and health, media/</w:t>
      </w:r>
      <w:proofErr w:type="spellStart"/>
      <w:r w:rsidRPr="009A45C9">
        <w:rPr>
          <w:rFonts w:eastAsia="Times New Roman"/>
        </w:rPr>
        <w:t>audiovisual</w:t>
      </w:r>
      <w:proofErr w:type="spellEnd"/>
      <w:r w:rsidRPr="009A45C9">
        <w:rPr>
          <w:rFonts w:eastAsia="Times New Roman"/>
        </w:rPr>
        <w:t>, etc)</w:t>
      </w:r>
    </w:p>
    <w:p w14:paraId="68CA7058" w14:textId="77777777" w:rsidR="009A45C9" w:rsidRPr="009A45C9" w:rsidRDefault="009A45C9" w:rsidP="00FB356F">
      <w:pPr>
        <w:numPr>
          <w:ilvl w:val="0"/>
          <w:numId w:val="23"/>
        </w:numPr>
        <w:spacing w:after="120"/>
        <w:ind w:left="714" w:hanging="357"/>
        <w:rPr>
          <w:rFonts w:eastAsia="Times New Roman"/>
        </w:rPr>
      </w:pPr>
      <w:r w:rsidRPr="009A45C9">
        <w:rPr>
          <w:rFonts w:eastAsia="Times New Roman"/>
        </w:rPr>
        <w:t xml:space="preserve">Market access and classification challenges </w:t>
      </w:r>
    </w:p>
    <w:p w14:paraId="14A8AD6C" w14:textId="77777777" w:rsidR="008273F8" w:rsidRDefault="008273F8" w:rsidP="008273F8"/>
    <w:p w14:paraId="1D8384BE" w14:textId="72344676" w:rsidR="001A790F" w:rsidRDefault="001A790F" w:rsidP="001A790F"/>
    <w:p w14:paraId="5A7FFFFF" w14:textId="7B8CBF76" w:rsidR="00386F1A" w:rsidRDefault="00386F1A" w:rsidP="00386F1A"/>
    <w:p w14:paraId="619A0C4C" w14:textId="6169ED2A" w:rsidR="00386F1A" w:rsidRDefault="00386F1A" w:rsidP="00386F1A">
      <w:pPr>
        <w:jc w:val="center"/>
        <w:rPr>
          <w:b/>
        </w:rPr>
      </w:pPr>
      <w:r>
        <w:rPr>
          <w:b/>
        </w:rPr>
        <w:t>_______________</w:t>
      </w:r>
    </w:p>
    <w:p w14:paraId="37BC5A45" w14:textId="4FDFE620" w:rsidR="00386F1A" w:rsidRDefault="00386F1A" w:rsidP="00386F1A"/>
    <w:p w14:paraId="5B8C4A64" w14:textId="77777777" w:rsidR="00386F1A" w:rsidRPr="00386F1A" w:rsidRDefault="00386F1A" w:rsidP="00386F1A"/>
    <w:p w14:paraId="612F1B26" w14:textId="776B80AC" w:rsidR="001A790F" w:rsidRPr="001A790F" w:rsidRDefault="00386F1A" w:rsidP="001A790F">
      <w:pPr>
        <w:pStyle w:val="Title"/>
        <w:jc w:val="left"/>
      </w:pPr>
      <w:r>
        <w:t xml:space="preserve">WEBINAR 2:   </w:t>
      </w:r>
      <w:r w:rsidR="001A790F" w:rsidRPr="001A790F">
        <w:t>E-COMMERCE I</w:t>
      </w:r>
      <w:r w:rsidR="001A790F">
        <w:t>I</w:t>
      </w:r>
    </w:p>
    <w:p w14:paraId="5ED2FFF6" w14:textId="77777777" w:rsidR="001A790F" w:rsidRPr="00763089" w:rsidRDefault="001A790F" w:rsidP="001A790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Wednesday, 25</w:t>
      </w:r>
      <w:r w:rsidRPr="00763089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  <w:lang w:val="en-US"/>
        </w:rPr>
        <w:t>November</w:t>
      </w:r>
      <w:r w:rsidRPr="00763089">
        <w:rPr>
          <w:b/>
          <w:bCs/>
          <w:i/>
          <w:iCs/>
          <w:u w:val="single"/>
          <w:lang w:val="en-US"/>
        </w:rPr>
        <w:t xml:space="preserve"> </w:t>
      </w:r>
      <w:r w:rsidRPr="00763089">
        <w:rPr>
          <w:b/>
          <w:bCs/>
          <w:i/>
          <w:iCs/>
          <w:u w:val="single"/>
        </w:rPr>
        <w:t>2020, 09:00 – 11:00 (G</w:t>
      </w:r>
      <w:r>
        <w:rPr>
          <w:b/>
          <w:bCs/>
          <w:i/>
          <w:iCs/>
          <w:u w:val="single"/>
        </w:rPr>
        <w:t>ene</w:t>
      </w:r>
      <w:r w:rsidRPr="00763089">
        <w:rPr>
          <w:b/>
          <w:bCs/>
          <w:i/>
          <w:iCs/>
          <w:u w:val="single"/>
        </w:rPr>
        <w:t>va</w:t>
      </w:r>
      <w:proofErr w:type="gramStart"/>
      <w:r w:rsidRPr="00763089">
        <w:rPr>
          <w:b/>
          <w:bCs/>
          <w:i/>
          <w:iCs/>
          <w:u w:val="single"/>
        </w:rPr>
        <w:t>)</w:t>
      </w:r>
      <w:r>
        <w:rPr>
          <w:b/>
          <w:bCs/>
          <w:i/>
          <w:iCs/>
          <w:u w:val="single"/>
        </w:rPr>
        <w:t>,  16</w:t>
      </w:r>
      <w:proofErr w:type="gramEnd"/>
      <w:r>
        <w:rPr>
          <w:b/>
          <w:bCs/>
          <w:i/>
          <w:iCs/>
          <w:u w:val="single"/>
        </w:rPr>
        <w:t>:00 – 18:00 (Taipei)</w:t>
      </w:r>
    </w:p>
    <w:p w14:paraId="5FB27029" w14:textId="77777777" w:rsidR="001A790F" w:rsidRDefault="001A790F" w:rsidP="001A790F">
      <w:pPr>
        <w:rPr>
          <w:i/>
          <w:iCs/>
          <w:u w:val="single"/>
        </w:rPr>
      </w:pPr>
    </w:p>
    <w:p w14:paraId="5B85AF08" w14:textId="77777777" w:rsidR="001A790F" w:rsidRPr="001A790F" w:rsidRDefault="001A790F" w:rsidP="001A790F">
      <w:pPr>
        <w:rPr>
          <w:rFonts w:ascii="Calibri" w:hAnsi="Calibri"/>
          <w:sz w:val="22"/>
        </w:rPr>
      </w:pPr>
      <w:r w:rsidRPr="00351BC9">
        <w:rPr>
          <w:u w:val="single"/>
        </w:rPr>
        <w:t>Resource person</w:t>
      </w:r>
      <w:r w:rsidRPr="001A790F">
        <w:t xml:space="preserve">: </w:t>
      </w:r>
      <w:r w:rsidRPr="001A790F">
        <w:rPr>
          <w:i/>
          <w:iCs/>
        </w:rPr>
        <w:t>Ms Lee TUTHILL</w:t>
      </w:r>
    </w:p>
    <w:p w14:paraId="2729320C" w14:textId="77777777" w:rsidR="001A790F" w:rsidRDefault="001A790F" w:rsidP="001A790F">
      <w:pPr>
        <w:pStyle w:val="ListParagraph"/>
        <w:ind w:left="0"/>
        <w:rPr>
          <w:rFonts w:eastAsia="Times New Roman"/>
          <w:b/>
          <w:bCs/>
          <w:lang w:val="en-US"/>
        </w:rPr>
      </w:pPr>
    </w:p>
    <w:p w14:paraId="60D8764E" w14:textId="3298B374" w:rsidR="001A790F" w:rsidRDefault="001A790F" w:rsidP="001A790F">
      <w:pPr>
        <w:pStyle w:val="ListParagraph"/>
        <w:ind w:left="0"/>
        <w:rPr>
          <w:rFonts w:eastAsia="Times New Roman"/>
          <w:b/>
          <w:bCs/>
          <w:lang w:val="en-US"/>
        </w:rPr>
      </w:pPr>
      <w:r w:rsidRPr="001A790F">
        <w:rPr>
          <w:rFonts w:eastAsia="Times New Roman"/>
          <w:b/>
          <w:bCs/>
          <w:lang w:val="en-US"/>
        </w:rPr>
        <w:t>Geneva Developments</w:t>
      </w:r>
    </w:p>
    <w:p w14:paraId="255B1B60" w14:textId="77777777" w:rsidR="001A790F" w:rsidRPr="001A790F" w:rsidRDefault="001A790F" w:rsidP="001A790F">
      <w:pPr>
        <w:pStyle w:val="ListParagraph"/>
        <w:ind w:left="0"/>
        <w:rPr>
          <w:rFonts w:eastAsia="Times New Roman"/>
          <w:b/>
          <w:bCs/>
          <w:lang w:val="en-US"/>
        </w:rPr>
      </w:pPr>
    </w:p>
    <w:p w14:paraId="6B3F74D6" w14:textId="77777777" w:rsidR="001A790F" w:rsidRPr="001A790F" w:rsidRDefault="001A790F" w:rsidP="00FB356F">
      <w:pPr>
        <w:pStyle w:val="ListParagraph"/>
        <w:numPr>
          <w:ilvl w:val="0"/>
          <w:numId w:val="23"/>
        </w:numPr>
        <w:spacing w:after="120"/>
        <w:contextualSpacing w:val="0"/>
        <w:rPr>
          <w:rFonts w:eastAsia="Times New Roman"/>
          <w:lang w:val="en-US"/>
        </w:rPr>
      </w:pPr>
      <w:r w:rsidRPr="001A790F">
        <w:rPr>
          <w:rFonts w:eastAsia="Times New Roman"/>
          <w:lang w:val="en-US"/>
        </w:rPr>
        <w:t xml:space="preserve">WTO </w:t>
      </w:r>
      <w:r w:rsidRPr="001A790F">
        <w:rPr>
          <w:rFonts w:eastAsia="Times New Roman"/>
        </w:rPr>
        <w:t>work</w:t>
      </w:r>
      <w:r w:rsidRPr="001A790F">
        <w:rPr>
          <w:rFonts w:eastAsia="Times New Roman"/>
          <w:lang w:val="en-US"/>
        </w:rPr>
        <w:t xml:space="preserve"> </w:t>
      </w:r>
      <w:proofErr w:type="spellStart"/>
      <w:r w:rsidRPr="001A790F">
        <w:rPr>
          <w:rFonts w:eastAsia="Times New Roman"/>
          <w:lang w:val="en-US"/>
        </w:rPr>
        <w:t>programme</w:t>
      </w:r>
      <w:proofErr w:type="spellEnd"/>
    </w:p>
    <w:p w14:paraId="7C722229" w14:textId="77777777" w:rsidR="001A790F" w:rsidRPr="001A790F" w:rsidRDefault="001A790F" w:rsidP="00FB356F">
      <w:pPr>
        <w:pStyle w:val="ListParagraph"/>
        <w:numPr>
          <w:ilvl w:val="1"/>
          <w:numId w:val="23"/>
        </w:numPr>
        <w:spacing w:after="60"/>
        <w:ind w:left="1434" w:hanging="357"/>
        <w:contextualSpacing w:val="0"/>
        <w:rPr>
          <w:rFonts w:eastAsia="Times New Roman"/>
          <w:lang w:val="en-US"/>
        </w:rPr>
      </w:pPr>
      <w:r w:rsidRPr="001A790F">
        <w:rPr>
          <w:rFonts w:eastAsia="Times New Roman"/>
          <w:lang w:val="en-US"/>
        </w:rPr>
        <w:t>The mood on the customs duties moratorium</w:t>
      </w:r>
    </w:p>
    <w:p w14:paraId="419578CE" w14:textId="3335ED4B" w:rsidR="001A790F" w:rsidRDefault="001A790F" w:rsidP="00FB356F">
      <w:pPr>
        <w:pStyle w:val="ListParagraph"/>
        <w:numPr>
          <w:ilvl w:val="1"/>
          <w:numId w:val="23"/>
        </w:numPr>
        <w:spacing w:after="60"/>
        <w:ind w:left="1434" w:hanging="357"/>
        <w:contextualSpacing w:val="0"/>
        <w:rPr>
          <w:rFonts w:eastAsia="Times New Roman"/>
          <w:lang w:val="en-US"/>
        </w:rPr>
      </w:pPr>
      <w:r w:rsidRPr="001A790F">
        <w:rPr>
          <w:rFonts w:eastAsia="Times New Roman"/>
          <w:lang w:val="en-US"/>
        </w:rPr>
        <w:t xml:space="preserve">WP </w:t>
      </w:r>
      <w:r w:rsidRPr="001A790F">
        <w:rPr>
          <w:rFonts w:eastAsia="Times New Roman"/>
        </w:rPr>
        <w:t>activities</w:t>
      </w:r>
      <w:r w:rsidRPr="001A790F">
        <w:rPr>
          <w:rFonts w:eastAsia="Times New Roman"/>
          <w:lang w:val="en-US"/>
        </w:rPr>
        <w:t xml:space="preserve"> in the Services Council</w:t>
      </w:r>
    </w:p>
    <w:p w14:paraId="1E483EB2" w14:textId="5EC6EAF2" w:rsidR="001A790F" w:rsidRDefault="001A790F" w:rsidP="00FB356F">
      <w:pPr>
        <w:pStyle w:val="ListParagraph"/>
        <w:numPr>
          <w:ilvl w:val="0"/>
          <w:numId w:val="23"/>
        </w:numPr>
        <w:spacing w:after="120"/>
        <w:contextualSpacing w:val="0"/>
        <w:rPr>
          <w:rFonts w:eastAsia="Times New Roman"/>
          <w:lang w:val="en-US"/>
        </w:rPr>
      </w:pPr>
      <w:r w:rsidRPr="001A790F">
        <w:rPr>
          <w:rFonts w:eastAsia="Times New Roman"/>
          <w:lang w:val="en-US"/>
        </w:rPr>
        <w:t>Key e-</w:t>
      </w:r>
      <w:r w:rsidRPr="001A790F">
        <w:rPr>
          <w:rFonts w:eastAsia="Times New Roman"/>
        </w:rPr>
        <w:t>commerce</w:t>
      </w:r>
      <w:r w:rsidRPr="001A790F">
        <w:rPr>
          <w:rFonts w:eastAsia="Times New Roman"/>
          <w:lang w:val="en-US"/>
        </w:rPr>
        <w:t xml:space="preserve"> provisions in RTAs and their influence in JSI negotiations</w:t>
      </w:r>
    </w:p>
    <w:p w14:paraId="5499ED8F" w14:textId="77777777" w:rsidR="001A790F" w:rsidRPr="001A790F" w:rsidRDefault="001A790F" w:rsidP="00FB356F">
      <w:pPr>
        <w:pStyle w:val="ListParagraph"/>
        <w:numPr>
          <w:ilvl w:val="0"/>
          <w:numId w:val="23"/>
        </w:numPr>
        <w:spacing w:after="120"/>
        <w:contextualSpacing w:val="0"/>
        <w:rPr>
          <w:rFonts w:eastAsia="Times New Roman"/>
          <w:lang w:val="en-US"/>
        </w:rPr>
      </w:pPr>
      <w:r w:rsidRPr="001A790F">
        <w:rPr>
          <w:rFonts w:eastAsia="Times New Roman"/>
          <w:lang w:val="en-US"/>
        </w:rPr>
        <w:t xml:space="preserve">JSI </w:t>
      </w:r>
      <w:r w:rsidRPr="001A790F">
        <w:rPr>
          <w:rFonts w:eastAsia="Times New Roman"/>
        </w:rPr>
        <w:t>negotiations</w:t>
      </w:r>
    </w:p>
    <w:p w14:paraId="303B57F3" w14:textId="77777777" w:rsidR="001A790F" w:rsidRPr="001A790F" w:rsidRDefault="001A790F" w:rsidP="00FB356F">
      <w:pPr>
        <w:pStyle w:val="ListParagraph"/>
        <w:numPr>
          <w:ilvl w:val="1"/>
          <w:numId w:val="23"/>
        </w:numPr>
        <w:spacing w:after="60"/>
        <w:ind w:left="1434" w:hanging="357"/>
        <w:contextualSpacing w:val="0"/>
        <w:rPr>
          <w:rFonts w:eastAsia="Times New Roman"/>
          <w:lang w:val="en-US"/>
        </w:rPr>
      </w:pPr>
      <w:r w:rsidRPr="001A790F">
        <w:rPr>
          <w:rFonts w:eastAsia="Times New Roman"/>
          <w:lang w:val="en-US"/>
        </w:rPr>
        <w:t xml:space="preserve">The </w:t>
      </w:r>
      <w:r w:rsidRPr="001A790F">
        <w:rPr>
          <w:rFonts w:eastAsia="Times New Roman"/>
        </w:rPr>
        <w:t>process</w:t>
      </w:r>
      <w:r w:rsidRPr="001A790F">
        <w:rPr>
          <w:rFonts w:eastAsia="Times New Roman"/>
          <w:lang w:val="en-US"/>
        </w:rPr>
        <w:t xml:space="preserve"> and transparency</w:t>
      </w:r>
    </w:p>
    <w:p w14:paraId="6FA9C650" w14:textId="50473310" w:rsidR="001A790F" w:rsidRDefault="001A790F" w:rsidP="00FB356F">
      <w:pPr>
        <w:pStyle w:val="ListParagraph"/>
        <w:numPr>
          <w:ilvl w:val="1"/>
          <w:numId w:val="23"/>
        </w:numPr>
        <w:spacing w:after="60"/>
        <w:ind w:left="1434" w:hanging="357"/>
        <w:contextualSpacing w:val="0"/>
        <w:rPr>
          <w:rFonts w:eastAsia="Times New Roman"/>
          <w:lang w:val="en-US"/>
        </w:rPr>
      </w:pPr>
      <w:r w:rsidRPr="001A790F">
        <w:rPr>
          <w:rFonts w:eastAsia="Times New Roman"/>
        </w:rPr>
        <w:t>Compendium</w:t>
      </w:r>
      <w:r w:rsidRPr="001A790F">
        <w:rPr>
          <w:rFonts w:eastAsia="Times New Roman"/>
          <w:lang w:val="en-US"/>
        </w:rPr>
        <w:t xml:space="preserve"> of issues and state of play on some of the more difficult </w:t>
      </w:r>
      <w:r>
        <w:rPr>
          <w:rFonts w:eastAsia="Times New Roman"/>
          <w:lang w:val="en-US"/>
        </w:rPr>
        <w:t>issues</w:t>
      </w:r>
    </w:p>
    <w:p w14:paraId="5F29DE60" w14:textId="77777777" w:rsidR="001A790F" w:rsidRPr="001A790F" w:rsidRDefault="001A790F" w:rsidP="00FB356F">
      <w:pPr>
        <w:pStyle w:val="ListParagraph"/>
        <w:numPr>
          <w:ilvl w:val="0"/>
          <w:numId w:val="23"/>
        </w:numPr>
        <w:spacing w:after="120"/>
        <w:contextualSpacing w:val="0"/>
        <w:rPr>
          <w:rFonts w:eastAsia="Times New Roman"/>
          <w:lang w:val="en-US"/>
        </w:rPr>
      </w:pPr>
      <w:r w:rsidRPr="001A790F">
        <w:rPr>
          <w:rFonts w:eastAsia="Times New Roman"/>
          <w:lang w:val="en-US"/>
        </w:rPr>
        <w:t xml:space="preserve">Pending </w:t>
      </w:r>
      <w:r w:rsidRPr="001A790F">
        <w:rPr>
          <w:rFonts w:eastAsia="Times New Roman"/>
        </w:rPr>
        <w:t>issues</w:t>
      </w:r>
      <w:r w:rsidRPr="001A790F">
        <w:rPr>
          <w:rFonts w:eastAsia="Times New Roman"/>
          <w:lang w:val="en-US"/>
        </w:rPr>
        <w:t xml:space="preserve"> - Scope of application and architecture</w:t>
      </w:r>
    </w:p>
    <w:p w14:paraId="3011A3BC" w14:textId="0520A2C4" w:rsidR="00351BC9" w:rsidRDefault="00351BC9" w:rsidP="001A790F">
      <w:pPr>
        <w:rPr>
          <w:b/>
          <w:bCs/>
          <w:i/>
          <w:iCs/>
          <w:u w:val="single"/>
        </w:rPr>
      </w:pPr>
    </w:p>
    <w:p w14:paraId="5010F78B" w14:textId="35F56E22" w:rsidR="00386F1A" w:rsidRDefault="00386F1A" w:rsidP="00386F1A">
      <w:pPr>
        <w:rPr>
          <w:b/>
          <w:bCs/>
          <w:i/>
          <w:iCs/>
          <w:u w:val="single"/>
        </w:rPr>
      </w:pPr>
    </w:p>
    <w:p w14:paraId="238ED1A4" w14:textId="4B398742" w:rsidR="00386F1A" w:rsidRPr="00386F1A" w:rsidRDefault="00386F1A" w:rsidP="00386F1A">
      <w:pPr>
        <w:jc w:val="center"/>
      </w:pPr>
      <w:r w:rsidRPr="00386F1A">
        <w:t>_______________</w:t>
      </w:r>
    </w:p>
    <w:p w14:paraId="7906BF85" w14:textId="12EE5BA3" w:rsidR="00386F1A" w:rsidRPr="00386F1A" w:rsidRDefault="00386F1A" w:rsidP="00386F1A"/>
    <w:p w14:paraId="5D3E3BAD" w14:textId="77777777" w:rsidR="00386F1A" w:rsidRPr="00386F1A" w:rsidRDefault="00386F1A" w:rsidP="00386F1A"/>
    <w:p w14:paraId="6AEEDA5A" w14:textId="77777777" w:rsidR="00386F1A" w:rsidRDefault="00386F1A">
      <w:pPr>
        <w:spacing w:after="200" w:line="276" w:lineRule="auto"/>
        <w:jc w:val="left"/>
        <w:rPr>
          <w:rFonts w:eastAsiaTheme="majorEastAsia" w:cstheme="majorBidi"/>
          <w:b/>
          <w:caps/>
          <w:color w:val="006283"/>
          <w:kern w:val="28"/>
          <w:szCs w:val="52"/>
        </w:rPr>
      </w:pPr>
      <w:r>
        <w:br w:type="page"/>
      </w:r>
    </w:p>
    <w:p w14:paraId="70974A2E" w14:textId="762BE8E5" w:rsidR="00351BC9" w:rsidRDefault="00386F1A" w:rsidP="00351BC9">
      <w:pPr>
        <w:pStyle w:val="Title"/>
        <w:jc w:val="left"/>
      </w:pPr>
      <w:r>
        <w:lastRenderedPageBreak/>
        <w:t xml:space="preserve">WEBINAR 3:   </w:t>
      </w:r>
      <w:r w:rsidRPr="00351BC9">
        <w:rPr>
          <w:rFonts w:eastAsia="Times New Roman"/>
        </w:rPr>
        <w:t xml:space="preserve">JSI Negotiations on </w:t>
      </w:r>
      <w:r w:rsidR="00351BC9">
        <w:t>Services Domestic Regulation</w:t>
      </w:r>
    </w:p>
    <w:p w14:paraId="3159CB74" w14:textId="77777777" w:rsidR="00351BC9" w:rsidRDefault="00351BC9" w:rsidP="001A790F">
      <w:pPr>
        <w:rPr>
          <w:b/>
          <w:bCs/>
          <w:i/>
          <w:iCs/>
          <w:u w:val="single"/>
        </w:rPr>
      </w:pPr>
    </w:p>
    <w:p w14:paraId="3C85C678" w14:textId="7705B766" w:rsidR="001A790F" w:rsidRPr="00763089" w:rsidRDefault="001A790F" w:rsidP="001A790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Friday, 27</w:t>
      </w:r>
      <w:r w:rsidRPr="00763089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  <w:lang w:val="en-US"/>
        </w:rPr>
        <w:t>November</w:t>
      </w:r>
      <w:r w:rsidRPr="00763089">
        <w:rPr>
          <w:b/>
          <w:bCs/>
          <w:i/>
          <w:iCs/>
          <w:u w:val="single"/>
          <w:lang w:val="en-US"/>
        </w:rPr>
        <w:t xml:space="preserve"> </w:t>
      </w:r>
      <w:r w:rsidRPr="00763089">
        <w:rPr>
          <w:b/>
          <w:bCs/>
          <w:i/>
          <w:iCs/>
          <w:u w:val="single"/>
        </w:rPr>
        <w:t>2020, 09:00 – 11:00 (G</w:t>
      </w:r>
      <w:r>
        <w:rPr>
          <w:b/>
          <w:bCs/>
          <w:i/>
          <w:iCs/>
          <w:u w:val="single"/>
        </w:rPr>
        <w:t>ene</w:t>
      </w:r>
      <w:r w:rsidRPr="00763089">
        <w:rPr>
          <w:b/>
          <w:bCs/>
          <w:i/>
          <w:iCs/>
          <w:u w:val="single"/>
        </w:rPr>
        <w:t>va</w:t>
      </w:r>
      <w:proofErr w:type="gramStart"/>
      <w:r w:rsidRPr="00763089">
        <w:rPr>
          <w:b/>
          <w:bCs/>
          <w:i/>
          <w:iCs/>
          <w:u w:val="single"/>
        </w:rPr>
        <w:t>)</w:t>
      </w:r>
      <w:r>
        <w:rPr>
          <w:b/>
          <w:bCs/>
          <w:i/>
          <w:iCs/>
          <w:u w:val="single"/>
        </w:rPr>
        <w:t>,  16</w:t>
      </w:r>
      <w:proofErr w:type="gramEnd"/>
      <w:r>
        <w:rPr>
          <w:b/>
          <w:bCs/>
          <w:i/>
          <w:iCs/>
          <w:u w:val="single"/>
        </w:rPr>
        <w:t>:00 – 18:00 (Taipei)</w:t>
      </w:r>
    </w:p>
    <w:p w14:paraId="35940A67" w14:textId="77777777" w:rsidR="00C36E74" w:rsidRDefault="00C36E74" w:rsidP="008273F8"/>
    <w:p w14:paraId="58DFE870" w14:textId="5FFA6545" w:rsidR="008A3204" w:rsidRPr="001A790F" w:rsidRDefault="00400EC8" w:rsidP="008273F8">
      <w:pPr>
        <w:rPr>
          <w:i/>
          <w:iCs/>
        </w:rPr>
      </w:pPr>
      <w:r w:rsidRPr="00351BC9">
        <w:rPr>
          <w:u w:val="single"/>
        </w:rPr>
        <w:t>Resource person</w:t>
      </w:r>
      <w:r w:rsidRPr="001A790F">
        <w:t xml:space="preserve">: </w:t>
      </w:r>
      <w:r w:rsidR="001A790F" w:rsidRPr="001A790F">
        <w:rPr>
          <w:i/>
          <w:iCs/>
        </w:rPr>
        <w:t>M</w:t>
      </w:r>
      <w:r w:rsidR="001A790F">
        <w:rPr>
          <w:i/>
          <w:iCs/>
        </w:rPr>
        <w:t>r Markus JELITTO</w:t>
      </w:r>
    </w:p>
    <w:p w14:paraId="5D83B3D8" w14:textId="209744A1" w:rsidR="00400EC8" w:rsidRPr="001A790F" w:rsidRDefault="00400EC8" w:rsidP="008273F8">
      <w:pPr>
        <w:rPr>
          <w:i/>
          <w:iCs/>
        </w:rPr>
      </w:pPr>
    </w:p>
    <w:p w14:paraId="60B9E104" w14:textId="0D92993F" w:rsidR="00351BC9" w:rsidRPr="00351BC9" w:rsidRDefault="00351BC9" w:rsidP="00351BC9">
      <w:pPr>
        <w:rPr>
          <w:rFonts w:eastAsia="Times New Roman"/>
        </w:rPr>
      </w:pPr>
    </w:p>
    <w:p w14:paraId="55FA3FF3" w14:textId="77777777" w:rsidR="00351BC9" w:rsidRPr="00351BC9" w:rsidRDefault="00351BC9" w:rsidP="00386F1A">
      <w:pPr>
        <w:numPr>
          <w:ilvl w:val="0"/>
          <w:numId w:val="23"/>
        </w:numPr>
        <w:spacing w:after="120"/>
        <w:ind w:left="714" w:hanging="357"/>
        <w:rPr>
          <w:rFonts w:eastAsia="Times New Roman"/>
          <w:lang w:val="en-US"/>
        </w:rPr>
      </w:pPr>
      <w:r w:rsidRPr="00351BC9">
        <w:rPr>
          <w:rFonts w:eastAsia="Times New Roman"/>
        </w:rPr>
        <w:t>Context, objectives and status of negotiations</w:t>
      </w:r>
    </w:p>
    <w:p w14:paraId="7C7443E3" w14:textId="77777777" w:rsidR="00351BC9" w:rsidRPr="00351BC9" w:rsidRDefault="00351BC9" w:rsidP="00386F1A">
      <w:pPr>
        <w:numPr>
          <w:ilvl w:val="0"/>
          <w:numId w:val="23"/>
        </w:numPr>
        <w:spacing w:after="120"/>
        <w:ind w:left="714" w:hanging="357"/>
        <w:rPr>
          <w:rFonts w:eastAsia="Times New Roman"/>
          <w:lang w:val="en-US"/>
        </w:rPr>
      </w:pPr>
      <w:r w:rsidRPr="00351BC9">
        <w:rPr>
          <w:rFonts w:eastAsia="Times New Roman"/>
        </w:rPr>
        <w:t xml:space="preserve">Substantive content of the negotiations </w:t>
      </w:r>
    </w:p>
    <w:p w14:paraId="135D49EA" w14:textId="77777777" w:rsidR="00351BC9" w:rsidRPr="00351BC9" w:rsidRDefault="00351BC9" w:rsidP="00386F1A">
      <w:pPr>
        <w:numPr>
          <w:ilvl w:val="1"/>
          <w:numId w:val="23"/>
        </w:numPr>
        <w:spacing w:after="60"/>
        <w:ind w:hanging="357"/>
        <w:rPr>
          <w:rFonts w:eastAsia="Times New Roman"/>
          <w:lang w:val="en-US"/>
        </w:rPr>
      </w:pPr>
      <w:r w:rsidRPr="00351BC9">
        <w:rPr>
          <w:rFonts w:eastAsia="Times New Roman"/>
        </w:rPr>
        <w:t xml:space="preserve">What is the Reference Paper? </w:t>
      </w:r>
    </w:p>
    <w:p w14:paraId="7CE93F97" w14:textId="77777777" w:rsidR="00351BC9" w:rsidRPr="00351BC9" w:rsidRDefault="00351BC9" w:rsidP="00386F1A">
      <w:pPr>
        <w:numPr>
          <w:ilvl w:val="1"/>
          <w:numId w:val="23"/>
        </w:numPr>
        <w:spacing w:after="60"/>
        <w:ind w:hanging="357"/>
        <w:rPr>
          <w:rFonts w:eastAsia="Times New Roman"/>
          <w:lang w:val="en-US"/>
        </w:rPr>
      </w:pPr>
      <w:r w:rsidRPr="00351BC9">
        <w:rPr>
          <w:rFonts w:eastAsia="Times New Roman"/>
        </w:rPr>
        <w:t>Section I of the Reference Paper – Motivation, Coverage and Modalities, Development</w:t>
      </w:r>
    </w:p>
    <w:p w14:paraId="1B397CCB" w14:textId="77777777" w:rsidR="00351BC9" w:rsidRPr="00351BC9" w:rsidRDefault="00351BC9" w:rsidP="00386F1A">
      <w:pPr>
        <w:numPr>
          <w:ilvl w:val="1"/>
          <w:numId w:val="23"/>
        </w:numPr>
        <w:spacing w:after="60"/>
        <w:ind w:hanging="357"/>
        <w:rPr>
          <w:rFonts w:eastAsia="Times New Roman"/>
          <w:lang w:val="en-US"/>
        </w:rPr>
      </w:pPr>
      <w:r w:rsidRPr="00351BC9">
        <w:rPr>
          <w:rFonts w:eastAsia="Times New Roman"/>
        </w:rPr>
        <w:t xml:space="preserve">Section II of the Reference Paper – Generally applicable disciplines </w:t>
      </w:r>
    </w:p>
    <w:p w14:paraId="077531D2" w14:textId="77777777" w:rsidR="00351BC9" w:rsidRPr="00351BC9" w:rsidRDefault="00351BC9" w:rsidP="00386F1A">
      <w:pPr>
        <w:numPr>
          <w:ilvl w:val="2"/>
          <w:numId w:val="23"/>
        </w:numPr>
        <w:spacing w:after="60"/>
        <w:ind w:hanging="357"/>
        <w:rPr>
          <w:rFonts w:eastAsia="Times New Roman"/>
          <w:lang w:val="en-US"/>
        </w:rPr>
      </w:pPr>
      <w:r w:rsidRPr="00351BC9">
        <w:rPr>
          <w:rFonts w:eastAsia="Times New Roman"/>
        </w:rPr>
        <w:t xml:space="preserve">Disciplines on transparency: </w:t>
      </w:r>
    </w:p>
    <w:p w14:paraId="3604F000" w14:textId="77777777" w:rsidR="00351BC9" w:rsidRPr="00351BC9" w:rsidRDefault="00351BC9" w:rsidP="00386F1A">
      <w:pPr>
        <w:numPr>
          <w:ilvl w:val="2"/>
          <w:numId w:val="23"/>
        </w:numPr>
        <w:spacing w:after="60"/>
        <w:ind w:hanging="357"/>
        <w:rPr>
          <w:rFonts w:eastAsia="Times New Roman"/>
          <w:lang w:val="en-US"/>
        </w:rPr>
      </w:pPr>
      <w:r w:rsidRPr="00351BC9">
        <w:rPr>
          <w:rFonts w:eastAsia="Times New Roman"/>
        </w:rPr>
        <w:t>Disciplines on legal certainty and predictability:</w:t>
      </w:r>
    </w:p>
    <w:p w14:paraId="7677F801" w14:textId="77777777" w:rsidR="00351BC9" w:rsidRPr="00351BC9" w:rsidRDefault="00351BC9" w:rsidP="00386F1A">
      <w:pPr>
        <w:numPr>
          <w:ilvl w:val="2"/>
          <w:numId w:val="23"/>
        </w:numPr>
        <w:spacing w:after="60"/>
        <w:ind w:hanging="357"/>
        <w:rPr>
          <w:rFonts w:eastAsia="Times New Roman"/>
          <w:lang w:val="en-US"/>
        </w:rPr>
      </w:pPr>
      <w:r w:rsidRPr="00351BC9">
        <w:rPr>
          <w:rFonts w:eastAsia="Times New Roman"/>
        </w:rPr>
        <w:t xml:space="preserve">Disciplines on regulatory quality and facilitation: </w:t>
      </w:r>
    </w:p>
    <w:p w14:paraId="73722D8E" w14:textId="77777777" w:rsidR="00351BC9" w:rsidRPr="00351BC9" w:rsidRDefault="00351BC9" w:rsidP="00386F1A">
      <w:pPr>
        <w:numPr>
          <w:ilvl w:val="1"/>
          <w:numId w:val="23"/>
        </w:numPr>
        <w:spacing w:after="60"/>
        <w:ind w:hanging="357"/>
        <w:rPr>
          <w:rFonts w:eastAsia="Times New Roman"/>
          <w:lang w:val="fr-FR"/>
        </w:rPr>
      </w:pPr>
      <w:r w:rsidRPr="00351BC9">
        <w:rPr>
          <w:rFonts w:eastAsia="Times New Roman"/>
          <w:lang w:val="fr-FR"/>
        </w:rPr>
        <w:t xml:space="preserve">Possible Section III – Alternative Disciplines on Financial Services </w:t>
      </w:r>
    </w:p>
    <w:p w14:paraId="7E4A8FB3" w14:textId="77777777" w:rsidR="00351BC9" w:rsidRPr="00351BC9" w:rsidRDefault="00351BC9" w:rsidP="00386F1A">
      <w:pPr>
        <w:numPr>
          <w:ilvl w:val="1"/>
          <w:numId w:val="23"/>
        </w:numPr>
        <w:spacing w:after="60"/>
        <w:ind w:hanging="357"/>
        <w:rPr>
          <w:rFonts w:eastAsia="Times New Roman"/>
          <w:lang w:val="en-US"/>
        </w:rPr>
      </w:pPr>
      <w:r w:rsidRPr="00351BC9">
        <w:rPr>
          <w:rFonts w:eastAsia="Times New Roman"/>
        </w:rPr>
        <w:t>Main outstanding issues concerning the draft Reference Paper</w:t>
      </w:r>
    </w:p>
    <w:p w14:paraId="1B7BD5C9" w14:textId="77777777" w:rsidR="00386F1A" w:rsidRPr="00386F1A" w:rsidRDefault="00386F1A" w:rsidP="00386F1A">
      <w:pPr>
        <w:ind w:left="720"/>
        <w:rPr>
          <w:rFonts w:eastAsia="Times New Roman"/>
          <w:lang w:val="en-US"/>
        </w:rPr>
      </w:pPr>
    </w:p>
    <w:p w14:paraId="0D77D49F" w14:textId="74347510" w:rsidR="00351BC9" w:rsidRPr="00351BC9" w:rsidRDefault="00351BC9" w:rsidP="00386F1A">
      <w:pPr>
        <w:numPr>
          <w:ilvl w:val="0"/>
          <w:numId w:val="23"/>
        </w:numPr>
        <w:spacing w:after="120"/>
        <w:ind w:left="714" w:hanging="357"/>
        <w:rPr>
          <w:rFonts w:eastAsia="Times New Roman"/>
          <w:lang w:val="en-US"/>
        </w:rPr>
      </w:pPr>
      <w:r w:rsidRPr="00351BC9">
        <w:rPr>
          <w:rFonts w:eastAsia="Times New Roman"/>
        </w:rPr>
        <w:t>Entry into effect of the negotiated outcome</w:t>
      </w:r>
    </w:p>
    <w:p w14:paraId="49247E59" w14:textId="77777777" w:rsidR="00351BC9" w:rsidRPr="00351BC9" w:rsidRDefault="00351BC9" w:rsidP="00386F1A">
      <w:pPr>
        <w:numPr>
          <w:ilvl w:val="0"/>
          <w:numId w:val="23"/>
        </w:numPr>
        <w:spacing w:after="120"/>
        <w:ind w:left="714" w:hanging="357"/>
        <w:rPr>
          <w:rFonts w:eastAsia="Times New Roman"/>
          <w:lang w:val="en-US"/>
        </w:rPr>
      </w:pPr>
      <w:r w:rsidRPr="00351BC9">
        <w:rPr>
          <w:rFonts w:eastAsia="Times New Roman"/>
        </w:rPr>
        <w:t>Potential benefits of domestic regulation disciplines (based on a draft Secretariat Working Paper)</w:t>
      </w:r>
    </w:p>
    <w:p w14:paraId="0E185C5A" w14:textId="579B94E7" w:rsidR="008A3204" w:rsidRPr="00351BC9" w:rsidRDefault="008A3204" w:rsidP="008A3204">
      <w:pPr>
        <w:rPr>
          <w:lang w:val="en-US"/>
        </w:rPr>
      </w:pPr>
    </w:p>
    <w:p w14:paraId="6D91CD0E" w14:textId="0D747C30" w:rsidR="007A5E2C" w:rsidRDefault="007A5E2C" w:rsidP="007A5E2C"/>
    <w:p w14:paraId="3079E023" w14:textId="77777777" w:rsidR="00400EC8" w:rsidRPr="00351BC9" w:rsidRDefault="00400EC8" w:rsidP="00351BC9">
      <w:pPr>
        <w:jc w:val="left"/>
        <w:rPr>
          <w:rFonts w:eastAsia="Times New Roman"/>
        </w:rPr>
      </w:pPr>
    </w:p>
    <w:p w14:paraId="448A986E" w14:textId="5F670530" w:rsidR="007A5E2C" w:rsidRDefault="007A5E2C" w:rsidP="007A5E2C"/>
    <w:p w14:paraId="0E3ED8AF" w14:textId="1C0B67AD" w:rsidR="007A5E2C" w:rsidRDefault="007A5E2C" w:rsidP="007A5E2C"/>
    <w:p w14:paraId="7C9510DD" w14:textId="7DB4F740" w:rsidR="007A5E2C" w:rsidRPr="007A5E2C" w:rsidRDefault="007A5E2C" w:rsidP="007A5E2C">
      <w:pPr>
        <w:jc w:val="center"/>
      </w:pPr>
      <w:r>
        <w:rPr>
          <w:b/>
        </w:rPr>
        <w:t>__________</w:t>
      </w:r>
    </w:p>
    <w:sectPr w:rsidR="007A5E2C" w:rsidRPr="007A5E2C" w:rsidSect="00E937C2">
      <w:headerReference w:type="default" r:id="rId10"/>
      <w:pgSz w:w="11906" w:h="16838" w:code="9"/>
      <w:pgMar w:top="1276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06061" w14:textId="77777777" w:rsidR="00762C44" w:rsidRDefault="00762C44" w:rsidP="00ED54E0">
      <w:r>
        <w:separator/>
      </w:r>
    </w:p>
  </w:endnote>
  <w:endnote w:type="continuationSeparator" w:id="0">
    <w:p w14:paraId="1084C7AA" w14:textId="77777777" w:rsidR="00762C44" w:rsidRDefault="00762C4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ADB73" w14:textId="77777777" w:rsidR="00762C44" w:rsidRDefault="00762C44" w:rsidP="00ED54E0">
      <w:r>
        <w:separator/>
      </w:r>
    </w:p>
  </w:footnote>
  <w:footnote w:type="continuationSeparator" w:id="0">
    <w:p w14:paraId="37682D1B" w14:textId="77777777" w:rsidR="00762C44" w:rsidRDefault="00762C44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69C1D" w14:textId="78A3A2CC" w:rsidR="009C5F6C" w:rsidRDefault="00386F1A" w:rsidP="005D3FAD">
    <w:pPr>
      <w:pStyle w:val="Header"/>
    </w:pPr>
    <w:r>
      <w:t xml:space="preserve">4 November </w:t>
    </w:r>
    <w:r w:rsidR="009C5F6C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150016"/>
    <w:multiLevelType w:val="hybridMultilevel"/>
    <w:tmpl w:val="768ECB8A"/>
    <w:lvl w:ilvl="0" w:tplc="EA5C6BE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211C6"/>
    <w:multiLevelType w:val="hybridMultilevel"/>
    <w:tmpl w:val="5EFAFEC2"/>
    <w:lvl w:ilvl="0" w:tplc="F2589B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E264E"/>
    <w:multiLevelType w:val="hybridMultilevel"/>
    <w:tmpl w:val="500AEFA2"/>
    <w:lvl w:ilvl="0" w:tplc="F2589B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75F72"/>
    <w:multiLevelType w:val="hybridMultilevel"/>
    <w:tmpl w:val="CFEAC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 w15:restartNumberingAfterBreak="0">
    <w:nsid w:val="57454AB1"/>
    <w:multiLevelType w:val="multilevel"/>
    <w:tmpl w:val="CC52177C"/>
    <w:numStyleLink w:val="LegalHeadings"/>
  </w:abstractNum>
  <w:abstractNum w:abstractNumId="17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8" w15:restartNumberingAfterBreak="0">
    <w:nsid w:val="5CE4718D"/>
    <w:multiLevelType w:val="hybridMultilevel"/>
    <w:tmpl w:val="541E5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D42D0"/>
    <w:multiLevelType w:val="hybridMultilevel"/>
    <w:tmpl w:val="F5F6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6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9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5F5"/>
    <w:rsid w:val="000106E0"/>
    <w:rsid w:val="000111BB"/>
    <w:rsid w:val="0001352B"/>
    <w:rsid w:val="00022C0F"/>
    <w:rsid w:val="000272F6"/>
    <w:rsid w:val="00037AC4"/>
    <w:rsid w:val="000423BF"/>
    <w:rsid w:val="00060204"/>
    <w:rsid w:val="000725C1"/>
    <w:rsid w:val="000A4945"/>
    <w:rsid w:val="000B31E1"/>
    <w:rsid w:val="0011356B"/>
    <w:rsid w:val="001306AE"/>
    <w:rsid w:val="0013337F"/>
    <w:rsid w:val="001451F3"/>
    <w:rsid w:val="00182B84"/>
    <w:rsid w:val="001946F2"/>
    <w:rsid w:val="001A751D"/>
    <w:rsid w:val="001A790F"/>
    <w:rsid w:val="001C5616"/>
    <w:rsid w:val="001D0F5C"/>
    <w:rsid w:val="001E291F"/>
    <w:rsid w:val="0021569C"/>
    <w:rsid w:val="00233408"/>
    <w:rsid w:val="00237417"/>
    <w:rsid w:val="0027067B"/>
    <w:rsid w:val="002877A3"/>
    <w:rsid w:val="002A15FB"/>
    <w:rsid w:val="002A6940"/>
    <w:rsid w:val="002E249B"/>
    <w:rsid w:val="00304385"/>
    <w:rsid w:val="00311BE2"/>
    <w:rsid w:val="00320249"/>
    <w:rsid w:val="003327AF"/>
    <w:rsid w:val="00351BC9"/>
    <w:rsid w:val="003572B4"/>
    <w:rsid w:val="003616BF"/>
    <w:rsid w:val="00371F2B"/>
    <w:rsid w:val="00383F10"/>
    <w:rsid w:val="00386F1A"/>
    <w:rsid w:val="0039413A"/>
    <w:rsid w:val="00400EC8"/>
    <w:rsid w:val="00420A38"/>
    <w:rsid w:val="00431A44"/>
    <w:rsid w:val="004551EC"/>
    <w:rsid w:val="00467032"/>
    <w:rsid w:val="0046754A"/>
    <w:rsid w:val="00476333"/>
    <w:rsid w:val="004A31FF"/>
    <w:rsid w:val="004F203A"/>
    <w:rsid w:val="00512FF5"/>
    <w:rsid w:val="005336B8"/>
    <w:rsid w:val="005938CD"/>
    <w:rsid w:val="00596230"/>
    <w:rsid w:val="00596F99"/>
    <w:rsid w:val="005B04B9"/>
    <w:rsid w:val="005B68C7"/>
    <w:rsid w:val="005B7054"/>
    <w:rsid w:val="005D0152"/>
    <w:rsid w:val="005D3FAD"/>
    <w:rsid w:val="005D5981"/>
    <w:rsid w:val="005F30CB"/>
    <w:rsid w:val="006119BF"/>
    <w:rsid w:val="00612644"/>
    <w:rsid w:val="00674CCD"/>
    <w:rsid w:val="006A18DC"/>
    <w:rsid w:val="006D6742"/>
    <w:rsid w:val="006E3654"/>
    <w:rsid w:val="006F5826"/>
    <w:rsid w:val="00700181"/>
    <w:rsid w:val="007141CF"/>
    <w:rsid w:val="00720A1D"/>
    <w:rsid w:val="00727F16"/>
    <w:rsid w:val="00732D62"/>
    <w:rsid w:val="00745146"/>
    <w:rsid w:val="0074635B"/>
    <w:rsid w:val="00752EBB"/>
    <w:rsid w:val="007540A3"/>
    <w:rsid w:val="007577E3"/>
    <w:rsid w:val="00760DB3"/>
    <w:rsid w:val="00762C44"/>
    <w:rsid w:val="00763089"/>
    <w:rsid w:val="00767204"/>
    <w:rsid w:val="007A5E2C"/>
    <w:rsid w:val="007C79F0"/>
    <w:rsid w:val="007E6507"/>
    <w:rsid w:val="007F2B8E"/>
    <w:rsid w:val="007F2DB0"/>
    <w:rsid w:val="0080111B"/>
    <w:rsid w:val="00801CBB"/>
    <w:rsid w:val="00807247"/>
    <w:rsid w:val="008273F8"/>
    <w:rsid w:val="00840C2B"/>
    <w:rsid w:val="00850889"/>
    <w:rsid w:val="008512D6"/>
    <w:rsid w:val="008739FD"/>
    <w:rsid w:val="008921FC"/>
    <w:rsid w:val="008A3204"/>
    <w:rsid w:val="008A44DB"/>
    <w:rsid w:val="008A7BB6"/>
    <w:rsid w:val="008E372C"/>
    <w:rsid w:val="0091651A"/>
    <w:rsid w:val="00920FD4"/>
    <w:rsid w:val="00947C09"/>
    <w:rsid w:val="00956326"/>
    <w:rsid w:val="009641C0"/>
    <w:rsid w:val="009713F3"/>
    <w:rsid w:val="00982409"/>
    <w:rsid w:val="009A00C2"/>
    <w:rsid w:val="009A45C9"/>
    <w:rsid w:val="009A6F54"/>
    <w:rsid w:val="009A7E67"/>
    <w:rsid w:val="009B0823"/>
    <w:rsid w:val="009B1E8A"/>
    <w:rsid w:val="009C5F6C"/>
    <w:rsid w:val="00A258FC"/>
    <w:rsid w:val="00A53DCE"/>
    <w:rsid w:val="00A5534F"/>
    <w:rsid w:val="00A6057A"/>
    <w:rsid w:val="00A74017"/>
    <w:rsid w:val="00A97A1E"/>
    <w:rsid w:val="00AA332C"/>
    <w:rsid w:val="00AB49AE"/>
    <w:rsid w:val="00AC24C7"/>
    <w:rsid w:val="00AC27F8"/>
    <w:rsid w:val="00AD4C72"/>
    <w:rsid w:val="00AE20ED"/>
    <w:rsid w:val="00AE2AEE"/>
    <w:rsid w:val="00B1394B"/>
    <w:rsid w:val="00B230EC"/>
    <w:rsid w:val="00B50DC4"/>
    <w:rsid w:val="00B56EDC"/>
    <w:rsid w:val="00B67C16"/>
    <w:rsid w:val="00B77674"/>
    <w:rsid w:val="00BB1F84"/>
    <w:rsid w:val="00BB3733"/>
    <w:rsid w:val="00BE5468"/>
    <w:rsid w:val="00C11EAC"/>
    <w:rsid w:val="00C305D7"/>
    <w:rsid w:val="00C30F2A"/>
    <w:rsid w:val="00C36E74"/>
    <w:rsid w:val="00C43456"/>
    <w:rsid w:val="00C65C0C"/>
    <w:rsid w:val="00C808FC"/>
    <w:rsid w:val="00CC05F5"/>
    <w:rsid w:val="00CC5DCA"/>
    <w:rsid w:val="00CD7D97"/>
    <w:rsid w:val="00CE3EE6"/>
    <w:rsid w:val="00CE4BA1"/>
    <w:rsid w:val="00CF30DB"/>
    <w:rsid w:val="00D000C7"/>
    <w:rsid w:val="00D52A9D"/>
    <w:rsid w:val="00D55AAD"/>
    <w:rsid w:val="00D747AE"/>
    <w:rsid w:val="00D9226C"/>
    <w:rsid w:val="00DA20BD"/>
    <w:rsid w:val="00DB2EC8"/>
    <w:rsid w:val="00DE50DB"/>
    <w:rsid w:val="00DF6AE1"/>
    <w:rsid w:val="00E40094"/>
    <w:rsid w:val="00E46FD5"/>
    <w:rsid w:val="00E544BB"/>
    <w:rsid w:val="00E56545"/>
    <w:rsid w:val="00E85004"/>
    <w:rsid w:val="00E937C2"/>
    <w:rsid w:val="00EA5D4F"/>
    <w:rsid w:val="00EB6C56"/>
    <w:rsid w:val="00EB6F21"/>
    <w:rsid w:val="00ED54E0"/>
    <w:rsid w:val="00F01C13"/>
    <w:rsid w:val="00F32397"/>
    <w:rsid w:val="00F40595"/>
    <w:rsid w:val="00F957D8"/>
    <w:rsid w:val="00FA0B19"/>
    <w:rsid w:val="00FA5EBC"/>
    <w:rsid w:val="00FB356F"/>
    <w:rsid w:val="00FD224A"/>
    <w:rsid w:val="00FD6CF3"/>
    <w:rsid w:val="00FD79BF"/>
    <w:rsid w:val="00FF3E5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B6D584"/>
  <w15:docId w15:val="{AD3C3D2E-27C2-4774-9045-33ED5D9C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3A731-4B89-491E-927C-FAD08E21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2431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Jelitto, Markus</dc:creator>
  <cp:lastModifiedBy>King'ori, Queen</cp:lastModifiedBy>
  <cp:revision>2</cp:revision>
  <dcterms:created xsi:type="dcterms:W3CDTF">2020-11-09T13:01:00Z</dcterms:created>
  <dcterms:modified xsi:type="dcterms:W3CDTF">2020-11-09T13:01:00Z</dcterms:modified>
</cp:coreProperties>
</file>