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10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123"/>
        <w:gridCol w:w="3673"/>
      </w:tblGrid>
      <w:tr w:rsidR="00803391" w14:paraId="2406A99A" w14:textId="77777777" w:rsidTr="00803391">
        <w:trPr>
          <w:trHeight w:val="1934"/>
        </w:trPr>
        <w:tc>
          <w:tcPr>
            <w:tcW w:w="3398" w:type="dxa"/>
          </w:tcPr>
          <w:p w14:paraId="67466692" w14:textId="77777777" w:rsidR="00803391" w:rsidRDefault="00803391" w:rsidP="005678BB">
            <w:r>
              <w:rPr>
                <w:noProof/>
              </w:rPr>
              <w:drawing>
                <wp:inline distT="0" distB="0" distL="0" distR="0" wp14:anchorId="2EA53856" wp14:editId="136F0859">
                  <wp:extent cx="810263" cy="986667"/>
                  <wp:effectExtent l="0" t="0" r="8890" b="4445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3" cy="98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D9E415" w14:textId="77777777" w:rsidR="00803391" w:rsidRDefault="00803391" w:rsidP="005678BB"/>
        </w:tc>
        <w:tc>
          <w:tcPr>
            <w:tcW w:w="3123" w:type="dxa"/>
          </w:tcPr>
          <w:p w14:paraId="4C0FA277" w14:textId="77777777" w:rsidR="00803391" w:rsidRDefault="00803391" w:rsidP="005678BB"/>
        </w:tc>
        <w:tc>
          <w:tcPr>
            <w:tcW w:w="3673" w:type="dxa"/>
          </w:tcPr>
          <w:p w14:paraId="0ED888D9" w14:textId="77777777" w:rsidR="00803391" w:rsidRDefault="00803391" w:rsidP="005678BB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59FEE4A" wp14:editId="038549F4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7620</wp:posOffset>
                  </wp:positionV>
                  <wp:extent cx="2114550" cy="1171575"/>
                  <wp:effectExtent l="0" t="0" r="0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B222B80" w14:textId="77777777" w:rsidR="00803391" w:rsidRDefault="00803391" w:rsidP="00B21C95">
      <w:pPr>
        <w:jc w:val="center"/>
        <w:rPr>
          <w:rFonts w:ascii="Calibri" w:eastAsia="MS Gothic" w:hAnsi="Calibri"/>
          <w:b/>
          <w:caps/>
          <w:color w:val="006283"/>
          <w:kern w:val="28"/>
          <w:sz w:val="28"/>
          <w:szCs w:val="28"/>
        </w:rPr>
      </w:pPr>
    </w:p>
    <w:p w14:paraId="7B56ED2E" w14:textId="56D4C1F8" w:rsidR="00B21C95" w:rsidRDefault="00B21C95" w:rsidP="00B21C95">
      <w:pPr>
        <w:jc w:val="center"/>
        <w:rPr>
          <w:rFonts w:ascii="Calibri" w:eastAsia="MS Gothic" w:hAnsi="Calibri"/>
          <w:b/>
          <w:caps/>
          <w:color w:val="006283"/>
          <w:kern w:val="28"/>
          <w:sz w:val="28"/>
          <w:szCs w:val="28"/>
        </w:rPr>
      </w:pPr>
      <w:r>
        <w:rPr>
          <w:rFonts w:ascii="Calibri" w:eastAsia="MS Gothic" w:hAnsi="Calibri"/>
          <w:b/>
          <w:caps/>
          <w:color w:val="006283"/>
          <w:kern w:val="28"/>
          <w:sz w:val="28"/>
          <w:szCs w:val="28"/>
        </w:rPr>
        <w:t>WTO/AMF/IsDB</w:t>
      </w:r>
    </w:p>
    <w:p w14:paraId="50D60927" w14:textId="1A4565ED" w:rsidR="00B21C95" w:rsidRDefault="00D31652" w:rsidP="00B21C95">
      <w:pPr>
        <w:jc w:val="center"/>
        <w:rPr>
          <w:rFonts w:ascii="Calibri" w:eastAsia="MS Gothic" w:hAnsi="Calibri"/>
          <w:b/>
          <w:caps/>
          <w:color w:val="006283"/>
          <w:kern w:val="28"/>
          <w:sz w:val="28"/>
          <w:szCs w:val="28"/>
        </w:rPr>
      </w:pPr>
      <w:r>
        <w:rPr>
          <w:rFonts w:ascii="Calibri" w:eastAsia="MS Gothic" w:hAnsi="Calibri"/>
          <w:b/>
          <w:caps/>
          <w:color w:val="006283"/>
          <w:kern w:val="28"/>
          <w:sz w:val="28"/>
          <w:szCs w:val="28"/>
        </w:rPr>
        <w:t xml:space="preserve">High-level </w:t>
      </w:r>
      <w:r w:rsidR="00B21C95" w:rsidRPr="004519C1">
        <w:rPr>
          <w:rFonts w:ascii="Calibri" w:eastAsia="MS Gothic" w:hAnsi="Calibri"/>
          <w:b/>
          <w:caps/>
          <w:color w:val="006283"/>
          <w:kern w:val="28"/>
          <w:sz w:val="28"/>
          <w:szCs w:val="28"/>
        </w:rPr>
        <w:t xml:space="preserve">Regional </w:t>
      </w:r>
      <w:r>
        <w:rPr>
          <w:rFonts w:ascii="Calibri" w:eastAsia="MS Gothic" w:hAnsi="Calibri"/>
          <w:b/>
          <w:caps/>
          <w:color w:val="006283"/>
          <w:kern w:val="28"/>
          <w:sz w:val="28"/>
          <w:szCs w:val="28"/>
        </w:rPr>
        <w:t>dialogue</w:t>
      </w:r>
      <w:r w:rsidR="00B21C95" w:rsidRPr="004519C1">
        <w:rPr>
          <w:rFonts w:ascii="Calibri" w:eastAsia="MS Gothic" w:hAnsi="Calibri"/>
          <w:b/>
          <w:caps/>
          <w:color w:val="006283"/>
          <w:kern w:val="28"/>
          <w:sz w:val="28"/>
          <w:szCs w:val="28"/>
        </w:rPr>
        <w:t xml:space="preserve"> on </w:t>
      </w:r>
    </w:p>
    <w:p w14:paraId="3E29F85B" w14:textId="77777777" w:rsidR="00B21C95" w:rsidRPr="00946379" w:rsidRDefault="00B21C95" w:rsidP="00B21C95">
      <w:pPr>
        <w:jc w:val="center"/>
        <w:rPr>
          <w:sz w:val="28"/>
          <w:szCs w:val="28"/>
          <w:lang w:val="en-GB"/>
        </w:rPr>
      </w:pPr>
      <w:r w:rsidRPr="004519C1">
        <w:rPr>
          <w:rFonts w:ascii="Calibri" w:eastAsia="MS Gothic" w:hAnsi="Calibri"/>
          <w:b/>
          <w:caps/>
          <w:color w:val="006283"/>
          <w:kern w:val="28"/>
          <w:sz w:val="28"/>
          <w:szCs w:val="28"/>
        </w:rPr>
        <w:t>WTO Accessions</w:t>
      </w:r>
      <w:r>
        <w:rPr>
          <w:rFonts w:ascii="Calibri" w:eastAsia="MS Gothic" w:hAnsi="Calibri"/>
          <w:b/>
          <w:caps/>
          <w:color w:val="006283"/>
          <w:kern w:val="28"/>
          <w:sz w:val="28"/>
          <w:szCs w:val="28"/>
        </w:rPr>
        <w:t xml:space="preserve"> </w:t>
      </w:r>
      <w:r w:rsidRPr="004519C1">
        <w:rPr>
          <w:rFonts w:ascii="Calibri" w:eastAsia="MS Gothic" w:hAnsi="Calibri"/>
          <w:b/>
          <w:caps/>
          <w:color w:val="006283"/>
          <w:kern w:val="28"/>
          <w:sz w:val="28"/>
          <w:szCs w:val="28"/>
        </w:rPr>
        <w:t>for THE ARAB REGION</w:t>
      </w:r>
    </w:p>
    <w:p w14:paraId="6B299711" w14:textId="77777777" w:rsidR="00B21C95" w:rsidRPr="004519C1" w:rsidRDefault="00B21C95" w:rsidP="00B21C95">
      <w:pPr>
        <w:jc w:val="center"/>
        <w:rPr>
          <w:caps/>
          <w:color w:val="006283"/>
          <w:sz w:val="24"/>
          <w:szCs w:val="24"/>
        </w:rPr>
      </w:pPr>
      <w:r w:rsidRPr="004519C1">
        <w:rPr>
          <w:rFonts w:hint="eastAsia"/>
          <w:caps/>
          <w:color w:val="006283"/>
          <w:sz w:val="24"/>
          <w:szCs w:val="24"/>
        </w:rPr>
        <w:t>a</w:t>
      </w:r>
      <w:r w:rsidRPr="004519C1">
        <w:rPr>
          <w:caps/>
          <w:color w:val="006283"/>
          <w:sz w:val="24"/>
          <w:szCs w:val="24"/>
        </w:rPr>
        <w:t xml:space="preserve">rab perspectives on wto accessions and THE </w:t>
      </w:r>
      <w:r w:rsidRPr="004519C1">
        <w:rPr>
          <w:rFonts w:hint="eastAsia"/>
          <w:caps/>
          <w:color w:val="006283"/>
          <w:sz w:val="24"/>
          <w:szCs w:val="24"/>
        </w:rPr>
        <w:t>m</w:t>
      </w:r>
      <w:r w:rsidRPr="004519C1">
        <w:rPr>
          <w:caps/>
          <w:color w:val="006283"/>
          <w:sz w:val="24"/>
          <w:szCs w:val="24"/>
        </w:rPr>
        <w:t xml:space="preserve">ultilateral trading system </w:t>
      </w:r>
    </w:p>
    <w:p w14:paraId="3595697A" w14:textId="0504CD2E" w:rsidR="00B21C95" w:rsidRDefault="00D31652" w:rsidP="00B21C95">
      <w:pPr>
        <w:spacing w:after="120"/>
        <w:jc w:val="center"/>
        <w:rPr>
          <w:b/>
          <w:i/>
          <w:color w:val="006283"/>
          <w:sz w:val="24"/>
          <w:szCs w:val="24"/>
          <w:lang w:eastAsia="en-GB"/>
        </w:rPr>
      </w:pPr>
      <w:r>
        <w:rPr>
          <w:b/>
          <w:i/>
          <w:color w:val="006283"/>
          <w:sz w:val="24"/>
          <w:szCs w:val="24"/>
          <w:lang w:eastAsia="en-GB"/>
        </w:rPr>
        <w:t>08-10</w:t>
      </w:r>
      <w:r w:rsidR="00B21C95" w:rsidRPr="004519C1">
        <w:rPr>
          <w:b/>
          <w:i/>
          <w:color w:val="006283"/>
          <w:sz w:val="24"/>
          <w:szCs w:val="24"/>
          <w:lang w:eastAsia="en-GB"/>
        </w:rPr>
        <w:t xml:space="preserve"> </w:t>
      </w:r>
      <w:r w:rsidR="00B21C95">
        <w:rPr>
          <w:b/>
          <w:i/>
          <w:color w:val="006283"/>
          <w:sz w:val="24"/>
          <w:szCs w:val="24"/>
          <w:lang w:eastAsia="en-GB"/>
        </w:rPr>
        <w:t>November</w:t>
      </w:r>
      <w:r w:rsidR="00B21C95" w:rsidRPr="004519C1">
        <w:rPr>
          <w:b/>
          <w:i/>
          <w:color w:val="006283"/>
          <w:sz w:val="24"/>
          <w:szCs w:val="24"/>
          <w:lang w:eastAsia="en-GB"/>
        </w:rPr>
        <w:t xml:space="preserve"> 2020</w:t>
      </w:r>
      <w:r w:rsidR="00B21C95">
        <w:rPr>
          <w:b/>
          <w:i/>
          <w:color w:val="006283"/>
          <w:sz w:val="24"/>
          <w:szCs w:val="24"/>
          <w:lang w:eastAsia="en-GB"/>
        </w:rPr>
        <w:t xml:space="preserve"> (CET)</w:t>
      </w:r>
    </w:p>
    <w:p w14:paraId="3FFC425D" w14:textId="77777777" w:rsidR="00B21C95" w:rsidRPr="004519C1" w:rsidRDefault="00B21C95" w:rsidP="00B21C95">
      <w:pPr>
        <w:spacing w:after="120"/>
        <w:jc w:val="center"/>
        <w:rPr>
          <w:b/>
          <w:i/>
          <w:color w:val="006283"/>
          <w:sz w:val="24"/>
          <w:szCs w:val="24"/>
          <w:lang w:eastAsia="en-GB"/>
        </w:rPr>
      </w:pPr>
    </w:p>
    <w:p w14:paraId="4B8AC9D8" w14:textId="77777777" w:rsidR="00B21C95" w:rsidRDefault="00B21C95" w:rsidP="00B21C95">
      <w:pPr>
        <w:rPr>
          <w:caps/>
          <w:color w:val="006283"/>
          <w:szCs w:val="18"/>
        </w:rPr>
      </w:pPr>
      <w:r>
        <w:rPr>
          <w:caps/>
          <w:color w:val="006283"/>
          <w:szCs w:val="18"/>
        </w:rPr>
        <w:t xml:space="preserve">i. </w:t>
      </w:r>
      <w:r w:rsidRPr="00FF622F">
        <w:rPr>
          <w:caps/>
          <w:color w:val="006283"/>
          <w:szCs w:val="18"/>
        </w:rPr>
        <w:t>Background</w:t>
      </w:r>
    </w:p>
    <w:p w14:paraId="266E3811" w14:textId="77777777" w:rsidR="00B21C95" w:rsidRDefault="00B21C95" w:rsidP="00B21C95">
      <w:pPr>
        <w:jc w:val="both"/>
        <w:rPr>
          <w:caps/>
          <w:color w:val="006283"/>
          <w:szCs w:val="18"/>
        </w:rPr>
      </w:pPr>
      <w:r>
        <w:rPr>
          <w:color w:val="000000" w:themeColor="text1"/>
          <w:sz w:val="24"/>
          <w:szCs w:val="24"/>
        </w:rPr>
        <w:t>T</w:t>
      </w:r>
      <w:r w:rsidRPr="001C5080">
        <w:rPr>
          <w:color w:val="000000" w:themeColor="text1"/>
          <w:sz w:val="24"/>
          <w:szCs w:val="24"/>
        </w:rPr>
        <w:t xml:space="preserve">he Arab region </w:t>
      </w:r>
      <w:r>
        <w:rPr>
          <w:color w:val="000000" w:themeColor="text1"/>
          <w:sz w:val="24"/>
          <w:szCs w:val="24"/>
        </w:rPr>
        <w:t>comprises</w:t>
      </w:r>
      <w:r w:rsidRPr="001C5080">
        <w:rPr>
          <w:color w:val="000000" w:themeColor="text1"/>
          <w:sz w:val="24"/>
          <w:szCs w:val="24"/>
        </w:rPr>
        <w:t xml:space="preserve"> eight acceding governments (Algeria, Comoros, Iraq, Lebanon, Libya, Somalia, Sudan and Syria), accounting for </w:t>
      </w:r>
      <w:r>
        <w:rPr>
          <w:color w:val="000000" w:themeColor="text1"/>
          <w:sz w:val="24"/>
          <w:szCs w:val="24"/>
        </w:rPr>
        <w:t>more than one third</w:t>
      </w:r>
      <w:r w:rsidRPr="001C5080">
        <w:rPr>
          <w:color w:val="000000" w:themeColor="text1"/>
          <w:sz w:val="24"/>
          <w:szCs w:val="24"/>
        </w:rPr>
        <w:t xml:space="preserve"> of all twenty-</w:t>
      </w:r>
      <w:r>
        <w:rPr>
          <w:color w:val="000000" w:themeColor="text1"/>
          <w:sz w:val="24"/>
          <w:szCs w:val="24"/>
        </w:rPr>
        <w:t>three</w:t>
      </w:r>
      <w:r w:rsidRPr="001C5080">
        <w:rPr>
          <w:color w:val="000000" w:themeColor="text1"/>
          <w:sz w:val="24"/>
          <w:szCs w:val="24"/>
        </w:rPr>
        <w:t xml:space="preserve"> on-going </w:t>
      </w:r>
      <w:r>
        <w:rPr>
          <w:color w:val="000000" w:themeColor="text1"/>
          <w:sz w:val="24"/>
          <w:szCs w:val="24"/>
        </w:rPr>
        <w:t xml:space="preserve">WTO </w:t>
      </w:r>
      <w:r w:rsidRPr="001C5080">
        <w:rPr>
          <w:color w:val="000000" w:themeColor="text1"/>
          <w:sz w:val="24"/>
          <w:szCs w:val="24"/>
        </w:rPr>
        <w:t xml:space="preserve">accessions. </w:t>
      </w:r>
      <w:r>
        <w:rPr>
          <w:color w:val="000000" w:themeColor="text1"/>
          <w:sz w:val="24"/>
          <w:szCs w:val="24"/>
        </w:rPr>
        <w:t xml:space="preserve"> </w:t>
      </w:r>
      <w:r w:rsidRPr="001C5080">
        <w:rPr>
          <w:color w:val="000000" w:themeColor="text1"/>
          <w:sz w:val="24"/>
          <w:szCs w:val="24"/>
        </w:rPr>
        <w:t>Four Arab countries (</w:t>
      </w:r>
      <w:r>
        <w:rPr>
          <w:color w:val="000000" w:themeColor="text1"/>
          <w:sz w:val="24"/>
          <w:szCs w:val="24"/>
        </w:rPr>
        <w:t xml:space="preserve">the Kingdom of </w:t>
      </w:r>
      <w:r w:rsidRPr="001C5080">
        <w:rPr>
          <w:color w:val="000000" w:themeColor="text1"/>
          <w:sz w:val="24"/>
          <w:szCs w:val="24"/>
        </w:rPr>
        <w:t xml:space="preserve">Jordan, </w:t>
      </w:r>
      <w:r>
        <w:rPr>
          <w:color w:val="000000" w:themeColor="text1"/>
          <w:sz w:val="24"/>
          <w:szCs w:val="24"/>
        </w:rPr>
        <w:t xml:space="preserve">the Sultanate of </w:t>
      </w:r>
      <w:r w:rsidRPr="001C5080">
        <w:rPr>
          <w:color w:val="000000" w:themeColor="text1"/>
          <w:sz w:val="24"/>
          <w:szCs w:val="24"/>
        </w:rPr>
        <w:t xml:space="preserve">Oman, </w:t>
      </w:r>
      <w:r>
        <w:rPr>
          <w:color w:val="000000" w:themeColor="text1"/>
          <w:sz w:val="24"/>
          <w:szCs w:val="24"/>
        </w:rPr>
        <w:t xml:space="preserve">the Kingdom of </w:t>
      </w:r>
      <w:r w:rsidRPr="001C5080">
        <w:rPr>
          <w:color w:val="000000" w:themeColor="text1"/>
          <w:sz w:val="24"/>
          <w:szCs w:val="24"/>
        </w:rPr>
        <w:t xml:space="preserve">Saudi Arabia and Yemen) have acceded to the WTO since its establishment in 1995. </w:t>
      </w:r>
    </w:p>
    <w:p w14:paraId="6D699A6C" w14:textId="77777777" w:rsidR="00B21C95" w:rsidRPr="00B249FC" w:rsidRDefault="00B21C95" w:rsidP="00B21C95">
      <w:pPr>
        <w:jc w:val="both"/>
        <w:rPr>
          <w:caps/>
          <w:color w:val="006283"/>
          <w:szCs w:val="18"/>
        </w:rPr>
      </w:pPr>
      <w:r w:rsidRPr="001C5080">
        <w:rPr>
          <w:color w:val="000000" w:themeColor="text1"/>
          <w:sz w:val="24"/>
          <w:szCs w:val="24"/>
        </w:rPr>
        <w:t xml:space="preserve">The Regional Workshop is </w:t>
      </w:r>
      <w:r>
        <w:rPr>
          <w:color w:val="000000" w:themeColor="text1"/>
          <w:sz w:val="24"/>
          <w:szCs w:val="24"/>
        </w:rPr>
        <w:t>organized</w:t>
      </w:r>
      <w:r w:rsidRPr="001C5080">
        <w:rPr>
          <w:color w:val="000000" w:themeColor="text1"/>
          <w:sz w:val="24"/>
          <w:szCs w:val="24"/>
        </w:rPr>
        <w:t xml:space="preserve"> in direct response to the increasing interest from Members and Arab Observers to advance the ongoing accession processes in the region. It will provide a useful platform for experience</w:t>
      </w:r>
      <w:bookmarkStart w:id="0" w:name="_Hlk30584446"/>
      <w:r w:rsidRPr="001C5080">
        <w:rPr>
          <w:color w:val="000000" w:themeColor="text1"/>
          <w:sz w:val="24"/>
          <w:szCs w:val="24"/>
        </w:rPr>
        <w:t>-</w:t>
      </w:r>
      <w:bookmarkEnd w:id="0"/>
      <w:r w:rsidRPr="001C5080">
        <w:rPr>
          <w:color w:val="000000" w:themeColor="text1"/>
          <w:sz w:val="24"/>
          <w:szCs w:val="24"/>
        </w:rPr>
        <w:t>sharing, capacity-building as well as awareness-raising on WTO accessions among negotiators and other stakeholders.</w:t>
      </w:r>
    </w:p>
    <w:p w14:paraId="07560E8F" w14:textId="77777777" w:rsidR="00B21C95" w:rsidRDefault="00B21C95" w:rsidP="00B21C95">
      <w:pPr>
        <w:jc w:val="both"/>
        <w:rPr>
          <w:caps/>
          <w:color w:val="006283"/>
          <w:szCs w:val="18"/>
        </w:rPr>
      </w:pPr>
      <w:r>
        <w:rPr>
          <w:caps/>
          <w:color w:val="006283"/>
          <w:szCs w:val="18"/>
        </w:rPr>
        <w:t xml:space="preserve">ii. </w:t>
      </w:r>
      <w:r w:rsidRPr="0034038F">
        <w:rPr>
          <w:caps/>
          <w:color w:val="006283"/>
          <w:szCs w:val="18"/>
        </w:rPr>
        <w:t>Objectives</w:t>
      </w:r>
    </w:p>
    <w:p w14:paraId="0B793807" w14:textId="27E1D061" w:rsidR="00B21C95" w:rsidRDefault="00B21C95" w:rsidP="00B21C95">
      <w:pPr>
        <w:pStyle w:val="ListParagraph"/>
        <w:numPr>
          <w:ilvl w:val="0"/>
          <w:numId w:val="18"/>
        </w:numPr>
        <w:jc w:val="both"/>
        <w:rPr>
          <w:color w:val="000000" w:themeColor="text1"/>
          <w:sz w:val="24"/>
          <w:szCs w:val="24"/>
        </w:rPr>
      </w:pPr>
      <w:r w:rsidRPr="00B249FC">
        <w:rPr>
          <w:color w:val="000000" w:themeColor="text1"/>
          <w:sz w:val="24"/>
          <w:szCs w:val="24"/>
        </w:rPr>
        <w:t xml:space="preserve">To increase participants’ knowledge of the WTO accession process and accession-related rules; as well as facilitate acceding governments and Article XII members to exchange experience and lessons learned from the accession process; </w:t>
      </w:r>
    </w:p>
    <w:p w14:paraId="1D03DD6D" w14:textId="77777777" w:rsidR="00F949E7" w:rsidRPr="00B249FC" w:rsidRDefault="00F949E7" w:rsidP="00F949E7">
      <w:pPr>
        <w:pStyle w:val="ListParagraph"/>
        <w:jc w:val="both"/>
        <w:rPr>
          <w:color w:val="000000" w:themeColor="text1"/>
          <w:sz w:val="24"/>
          <w:szCs w:val="24"/>
        </w:rPr>
      </w:pPr>
    </w:p>
    <w:p w14:paraId="4467213C" w14:textId="38525D50" w:rsidR="00B21C95" w:rsidRDefault="00B21C95" w:rsidP="00B21C95">
      <w:pPr>
        <w:pStyle w:val="ListParagraph"/>
        <w:numPr>
          <w:ilvl w:val="0"/>
          <w:numId w:val="18"/>
        </w:numPr>
        <w:jc w:val="both"/>
        <w:rPr>
          <w:color w:val="000000" w:themeColor="text1"/>
          <w:sz w:val="24"/>
          <w:szCs w:val="24"/>
        </w:rPr>
      </w:pPr>
      <w:r w:rsidRPr="007B712C">
        <w:rPr>
          <w:color w:val="000000" w:themeColor="text1"/>
          <w:sz w:val="24"/>
          <w:szCs w:val="24"/>
        </w:rPr>
        <w:t xml:space="preserve">To </w:t>
      </w:r>
      <w:r>
        <w:rPr>
          <w:color w:val="000000" w:themeColor="text1"/>
          <w:sz w:val="24"/>
          <w:szCs w:val="24"/>
        </w:rPr>
        <w:t>identify</w:t>
      </w:r>
      <w:r w:rsidRPr="007B712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and mobilize </w:t>
      </w:r>
      <w:r w:rsidRPr="007B712C">
        <w:rPr>
          <w:color w:val="000000" w:themeColor="text1"/>
          <w:sz w:val="24"/>
          <w:szCs w:val="24"/>
        </w:rPr>
        <w:t>technical assistance</w:t>
      </w:r>
      <w:r>
        <w:rPr>
          <w:color w:val="000000" w:themeColor="text1"/>
          <w:sz w:val="24"/>
          <w:szCs w:val="24"/>
        </w:rPr>
        <w:t xml:space="preserve"> support</w:t>
      </w:r>
      <w:r w:rsidRPr="007B712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to facilitate and accelerate ongoing accessions in collaboration with donor institutions.</w:t>
      </w:r>
    </w:p>
    <w:p w14:paraId="21EECA82" w14:textId="72908A9C" w:rsidR="0057196A" w:rsidRDefault="0057196A" w:rsidP="00B21C95">
      <w:pPr>
        <w:pStyle w:val="ListParagraph"/>
        <w:jc w:val="both"/>
        <w:rPr>
          <w:color w:val="000000" w:themeColor="text1"/>
          <w:sz w:val="24"/>
          <w:szCs w:val="24"/>
        </w:rPr>
      </w:pPr>
    </w:p>
    <w:p w14:paraId="2E2275D7" w14:textId="7B0F739F" w:rsidR="0057196A" w:rsidRDefault="0057196A" w:rsidP="00B21C95">
      <w:pPr>
        <w:pStyle w:val="ListParagraph"/>
        <w:jc w:val="both"/>
        <w:rPr>
          <w:color w:val="000000" w:themeColor="text1"/>
          <w:sz w:val="24"/>
          <w:szCs w:val="24"/>
        </w:rPr>
      </w:pPr>
    </w:p>
    <w:p w14:paraId="1AD395A6" w14:textId="4220B096" w:rsidR="0057196A" w:rsidRDefault="0057196A" w:rsidP="00B21C95">
      <w:pPr>
        <w:pStyle w:val="ListParagraph"/>
        <w:jc w:val="both"/>
        <w:rPr>
          <w:color w:val="000000" w:themeColor="text1"/>
          <w:sz w:val="24"/>
          <w:szCs w:val="24"/>
        </w:rPr>
      </w:pPr>
    </w:p>
    <w:p w14:paraId="7B233591" w14:textId="10CAFC08" w:rsidR="0057196A" w:rsidRDefault="0057196A" w:rsidP="00B21C95">
      <w:pPr>
        <w:pStyle w:val="ListParagraph"/>
        <w:jc w:val="both"/>
        <w:rPr>
          <w:color w:val="000000" w:themeColor="text1"/>
          <w:sz w:val="24"/>
          <w:szCs w:val="24"/>
        </w:rPr>
      </w:pPr>
    </w:p>
    <w:p w14:paraId="5633783A" w14:textId="0F982130" w:rsidR="0057196A" w:rsidRDefault="0057196A" w:rsidP="00B21C95">
      <w:pPr>
        <w:pStyle w:val="ListParagraph"/>
        <w:jc w:val="both"/>
        <w:rPr>
          <w:color w:val="000000" w:themeColor="text1"/>
          <w:sz w:val="24"/>
          <w:szCs w:val="24"/>
        </w:rPr>
      </w:pPr>
    </w:p>
    <w:p w14:paraId="5A3DF94A" w14:textId="16917755" w:rsidR="0057196A" w:rsidRDefault="0057196A" w:rsidP="00B21C95">
      <w:pPr>
        <w:pStyle w:val="ListParagraph"/>
        <w:jc w:val="both"/>
        <w:rPr>
          <w:color w:val="000000" w:themeColor="text1"/>
          <w:sz w:val="24"/>
          <w:szCs w:val="24"/>
        </w:rPr>
      </w:pPr>
    </w:p>
    <w:p w14:paraId="1ECD7EBD" w14:textId="1D73AA96" w:rsidR="00454195" w:rsidRDefault="00454195" w:rsidP="00454195">
      <w:pPr>
        <w:rPr>
          <w:caps/>
          <w:color w:val="006283"/>
          <w:szCs w:val="18"/>
        </w:rPr>
      </w:pPr>
      <w:r>
        <w:rPr>
          <w:caps/>
          <w:color w:val="006283"/>
          <w:szCs w:val="18"/>
        </w:rPr>
        <w:lastRenderedPageBreak/>
        <w:t>i</w:t>
      </w:r>
      <w:r w:rsidR="0057196A">
        <w:rPr>
          <w:caps/>
          <w:color w:val="006283"/>
          <w:szCs w:val="18"/>
        </w:rPr>
        <w:t>II</w:t>
      </w:r>
      <w:r>
        <w:rPr>
          <w:caps/>
          <w:color w:val="006283"/>
          <w:szCs w:val="18"/>
        </w:rPr>
        <w:t xml:space="preserve">. Proposed </w:t>
      </w:r>
      <w:r w:rsidRPr="00B15A9F">
        <w:rPr>
          <w:caps/>
          <w:color w:val="006283"/>
          <w:szCs w:val="18"/>
        </w:rPr>
        <w:t>Programme</w:t>
      </w:r>
      <w:r w:rsidR="000C42A9">
        <w:rPr>
          <w:caps/>
          <w:color w:val="006283"/>
          <w:szCs w:val="18"/>
        </w:rPr>
        <w:t xml:space="preserve"> (Draft)</w:t>
      </w:r>
    </w:p>
    <w:tbl>
      <w:tblPr>
        <w:tblW w:w="5185" w:type="pct"/>
        <w:tblInd w:w="-15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504"/>
        <w:gridCol w:w="56"/>
        <w:gridCol w:w="7779"/>
      </w:tblGrid>
      <w:tr w:rsidR="00454195" w:rsidRPr="00C1620F" w14:paraId="285BFBA7" w14:textId="77777777" w:rsidTr="00623461">
        <w:trPr>
          <w:trHeight w:val="809"/>
        </w:trPr>
        <w:tc>
          <w:tcPr>
            <w:tcW w:w="5000" w:type="pct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B8CCE4" w:themeFill="accent1" w:themeFillTint="66"/>
            <w:vAlign w:val="center"/>
          </w:tcPr>
          <w:p w14:paraId="4C83CA90" w14:textId="541FEB05" w:rsidR="00454195" w:rsidRPr="00C1620F" w:rsidRDefault="00454195" w:rsidP="00A46DB6">
            <w:pPr>
              <w:spacing w:before="120" w:after="12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1620F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DAY 1: </w:t>
            </w:r>
            <w:r w:rsidR="00D31652">
              <w:rPr>
                <w:rFonts w:eastAsia="Calibri"/>
                <w:b/>
                <w:bCs/>
                <w:i/>
                <w:sz w:val="20"/>
                <w:szCs w:val="20"/>
              </w:rPr>
              <w:t>Sunday,</w:t>
            </w:r>
            <w:r w:rsidRPr="00C1620F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 </w:t>
            </w:r>
            <w:r w:rsidR="00D31652">
              <w:rPr>
                <w:rFonts w:eastAsia="Calibri"/>
                <w:b/>
                <w:bCs/>
                <w:i/>
                <w:sz w:val="20"/>
                <w:szCs w:val="20"/>
              </w:rPr>
              <w:t>8</w:t>
            </w:r>
            <w:r w:rsidRPr="00C1620F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>NOVEMBER</w:t>
            </w:r>
            <w:r w:rsidRPr="00C1620F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 2020</w:t>
            </w:r>
          </w:p>
          <w:p w14:paraId="76FECF19" w14:textId="77777777" w:rsidR="00454195" w:rsidRPr="00C1620F" w:rsidRDefault="00454195" w:rsidP="00A46DB6">
            <w:pPr>
              <w:spacing w:before="120" w:after="120"/>
              <w:jc w:val="center"/>
              <w:rPr>
                <w:rFonts w:eastAsia="Calibri"/>
                <w:b/>
                <w:i/>
                <w:color w:val="1F497D"/>
                <w:sz w:val="20"/>
                <w:szCs w:val="20"/>
              </w:rPr>
            </w:pPr>
            <w:r>
              <w:rPr>
                <w:rFonts w:eastAsia="Calibri"/>
                <w:b/>
                <w:i/>
                <w:color w:val="1F497D"/>
                <w:sz w:val="20"/>
                <w:szCs w:val="20"/>
              </w:rPr>
              <w:t>High-level Opening Session</w:t>
            </w:r>
          </w:p>
        </w:tc>
      </w:tr>
      <w:tr w:rsidR="00454195" w:rsidRPr="00C1620F" w14:paraId="2FB02886" w14:textId="77777777" w:rsidTr="00623461">
        <w:trPr>
          <w:trHeight w:val="340"/>
        </w:trPr>
        <w:tc>
          <w:tcPr>
            <w:tcW w:w="80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6BD1FC06" w14:textId="52B85790" w:rsidR="00454195" w:rsidRPr="00C1620F" w:rsidRDefault="00454195" w:rsidP="00A46DB6">
            <w:pPr>
              <w:spacing w:before="120" w:after="12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195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FFFFFF" w:themeFill="background1"/>
            <w:vAlign w:val="center"/>
          </w:tcPr>
          <w:p w14:paraId="71BE6185" w14:textId="77777777" w:rsidR="00454195" w:rsidRPr="00BD6778" w:rsidRDefault="00454195" w:rsidP="00A46DB6">
            <w:pPr>
              <w:spacing w:before="120" w:after="120"/>
              <w:rPr>
                <w:rFonts w:eastAsia="Calibri"/>
                <w:b/>
                <w:i/>
                <w:color w:val="1F497D"/>
                <w:sz w:val="20"/>
                <w:szCs w:val="20"/>
              </w:rPr>
            </w:pPr>
            <w:r w:rsidRPr="00BD6778">
              <w:rPr>
                <w:rFonts w:eastAsia="Calibri"/>
                <w:b/>
                <w:i/>
                <w:color w:val="1F497D"/>
                <w:sz w:val="20"/>
                <w:szCs w:val="20"/>
              </w:rPr>
              <w:t>Opening Ceremony</w:t>
            </w:r>
          </w:p>
        </w:tc>
      </w:tr>
      <w:tr w:rsidR="00454195" w:rsidRPr="00C1620F" w14:paraId="70F385B2" w14:textId="77777777" w:rsidTr="00623461">
        <w:trPr>
          <w:trHeight w:val="340"/>
        </w:trPr>
        <w:tc>
          <w:tcPr>
            <w:tcW w:w="80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40F643D" w14:textId="77777777" w:rsidR="00454195" w:rsidRPr="00C1620F" w:rsidRDefault="00454195" w:rsidP="00A46DB6">
            <w:pPr>
              <w:tabs>
                <w:tab w:val="left" w:pos="567"/>
              </w:tabs>
              <w:adjustRightInd w:val="0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 w:rsidRPr="00C1620F">
              <w:rPr>
                <w:rFonts w:eastAsia="Calibri"/>
                <w:b/>
                <w:bCs/>
                <w:sz w:val="20"/>
                <w:szCs w:val="20"/>
              </w:rPr>
              <w:t>(</w:t>
            </w:r>
            <w:r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C1620F">
              <w:rPr>
                <w:rFonts w:eastAsia="Calibri"/>
                <w:b/>
                <w:bCs/>
                <w:sz w:val="20"/>
                <w:szCs w:val="20"/>
              </w:rPr>
              <w:t xml:space="preserve"> minutes per speaker)</w:t>
            </w:r>
          </w:p>
          <w:p w14:paraId="2D853D8C" w14:textId="77777777" w:rsidR="00454195" w:rsidRPr="00C1620F" w:rsidRDefault="00454195" w:rsidP="00A46DB6">
            <w:pPr>
              <w:tabs>
                <w:tab w:val="left" w:pos="567"/>
              </w:tabs>
              <w:adjustRightInd w:val="0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195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6B96DEFA" w14:textId="77777777" w:rsidR="00454195" w:rsidRPr="00B21C95" w:rsidRDefault="00454195" w:rsidP="00A46D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21C95">
              <w:rPr>
                <w:rFonts w:asciiTheme="minorHAnsi" w:hAnsiTheme="minorHAnsi" w:cstheme="minorHAnsi"/>
                <w:sz w:val="20"/>
                <w:szCs w:val="20"/>
              </w:rPr>
              <w:t>Moderator: Ms. Maika Oshikawa, Director, Accessions Division, WTO</w:t>
            </w:r>
          </w:p>
          <w:p w14:paraId="15F502BA" w14:textId="71C02B85" w:rsidR="00454195" w:rsidRPr="00B21C95" w:rsidRDefault="00454195" w:rsidP="00A46DB6">
            <w:pPr>
              <w:spacing w:before="120" w:after="120"/>
              <w:ind w:left="283"/>
              <w:rPr>
                <w:rFonts w:eastAsia="Calibri" w:cstheme="minorHAnsi"/>
                <w:sz w:val="20"/>
                <w:szCs w:val="20"/>
              </w:rPr>
            </w:pPr>
            <w:r w:rsidRPr="00B21C95">
              <w:rPr>
                <w:rFonts w:eastAsia="Calibri" w:cstheme="minorHAnsi"/>
                <w:sz w:val="20"/>
                <w:szCs w:val="20"/>
              </w:rPr>
              <w:t>- Remarks by Ambassador Alan Wolff, Deputy Director-General, WTO [TBC]</w:t>
            </w:r>
          </w:p>
          <w:p w14:paraId="73764E3E" w14:textId="4421B424" w:rsidR="00454195" w:rsidRPr="00B21C95" w:rsidRDefault="00454195" w:rsidP="00A46DB6">
            <w:pPr>
              <w:spacing w:before="120" w:after="120"/>
              <w:ind w:left="283"/>
              <w:rPr>
                <w:rFonts w:eastAsia="Calibri" w:cstheme="minorHAnsi"/>
                <w:sz w:val="20"/>
                <w:szCs w:val="20"/>
              </w:rPr>
            </w:pPr>
            <w:r w:rsidRPr="00B21C95">
              <w:rPr>
                <w:rFonts w:eastAsia="Calibri" w:cstheme="minorHAnsi"/>
                <w:sz w:val="20"/>
                <w:szCs w:val="20"/>
              </w:rPr>
              <w:t xml:space="preserve">- </w:t>
            </w:r>
            <w:r w:rsidR="00D31652" w:rsidRPr="00B21C95">
              <w:rPr>
                <w:rFonts w:eastAsia="Calibri" w:cstheme="minorHAnsi"/>
                <w:sz w:val="20"/>
                <w:szCs w:val="20"/>
              </w:rPr>
              <w:t>Remarks by AMF senior official [TB</w:t>
            </w:r>
            <w:r w:rsidR="00D31652">
              <w:rPr>
                <w:rFonts w:eastAsia="Calibri" w:cstheme="minorHAnsi"/>
                <w:sz w:val="20"/>
                <w:szCs w:val="20"/>
              </w:rPr>
              <w:t>C</w:t>
            </w:r>
            <w:r w:rsidR="00D31652" w:rsidRPr="00B21C95">
              <w:rPr>
                <w:rFonts w:eastAsia="Calibri" w:cstheme="minorHAnsi"/>
                <w:sz w:val="20"/>
                <w:szCs w:val="20"/>
              </w:rPr>
              <w:t>]</w:t>
            </w:r>
          </w:p>
          <w:p w14:paraId="1CA494F7" w14:textId="7BCE2835" w:rsidR="00454195" w:rsidRPr="00B21C95" w:rsidRDefault="00454195" w:rsidP="00A46DB6">
            <w:pPr>
              <w:spacing w:before="120" w:after="120"/>
              <w:ind w:left="283"/>
              <w:rPr>
                <w:rFonts w:eastAsia="Calibri" w:cstheme="minorHAnsi"/>
                <w:sz w:val="20"/>
                <w:szCs w:val="20"/>
              </w:rPr>
            </w:pPr>
            <w:r w:rsidRPr="00B21C95">
              <w:rPr>
                <w:rFonts w:eastAsia="Calibri" w:cstheme="minorHAnsi"/>
                <w:sz w:val="20"/>
                <w:szCs w:val="20"/>
              </w:rPr>
              <w:t xml:space="preserve">- </w:t>
            </w:r>
            <w:r w:rsidR="00D31652" w:rsidRPr="00B21C95">
              <w:rPr>
                <w:rFonts w:eastAsia="Calibri" w:cstheme="minorHAnsi"/>
                <w:sz w:val="20"/>
                <w:szCs w:val="20"/>
              </w:rPr>
              <w:t xml:space="preserve">Remarks by </w:t>
            </w:r>
            <w:r w:rsidR="00D31652">
              <w:rPr>
                <w:rFonts w:eastAsia="Calibri" w:cstheme="minorHAnsi"/>
                <w:sz w:val="20"/>
                <w:szCs w:val="20"/>
              </w:rPr>
              <w:t xml:space="preserve">IsDB senior official </w:t>
            </w:r>
            <w:r w:rsidR="00D31652" w:rsidRPr="00B21C95">
              <w:rPr>
                <w:rFonts w:eastAsia="Calibri" w:cstheme="minorHAnsi"/>
                <w:sz w:val="20"/>
                <w:szCs w:val="20"/>
              </w:rPr>
              <w:t>[TBC]</w:t>
            </w:r>
          </w:p>
        </w:tc>
      </w:tr>
      <w:tr w:rsidR="00454195" w:rsidRPr="00454195" w14:paraId="4F0A40BD" w14:textId="77777777" w:rsidTr="00623461">
        <w:trPr>
          <w:trHeight w:val="572"/>
        </w:trPr>
        <w:tc>
          <w:tcPr>
            <w:tcW w:w="5000" w:type="pct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1E702363" w14:textId="77B5D0C6" w:rsidR="00454195" w:rsidRPr="00454195" w:rsidRDefault="00454195" w:rsidP="00454195">
            <w:pPr>
              <w:rPr>
                <w:b/>
                <w:i/>
                <w:sz w:val="20"/>
                <w:szCs w:val="20"/>
              </w:rPr>
            </w:pPr>
            <w:bookmarkStart w:id="1" w:name="_Hlk50382889"/>
            <w:r w:rsidRPr="00454195">
              <w:rPr>
                <w:b/>
                <w:i/>
                <w:sz w:val="20"/>
                <w:szCs w:val="20"/>
              </w:rPr>
              <w:t xml:space="preserve">Session </w:t>
            </w:r>
            <w:r w:rsidR="00D31652">
              <w:rPr>
                <w:b/>
                <w:i/>
                <w:sz w:val="20"/>
                <w:szCs w:val="20"/>
              </w:rPr>
              <w:t>1</w:t>
            </w:r>
            <w:r w:rsidRPr="00454195">
              <w:rPr>
                <w:b/>
                <w:i/>
                <w:sz w:val="20"/>
                <w:szCs w:val="20"/>
              </w:rPr>
              <w:t xml:space="preserve">:  WTO Accession: Fundamentals </w:t>
            </w:r>
          </w:p>
        </w:tc>
      </w:tr>
      <w:bookmarkEnd w:id="1"/>
      <w:tr w:rsidR="00454195" w:rsidRPr="00454195" w14:paraId="40C3BF6E" w14:textId="77777777" w:rsidTr="00623461">
        <w:trPr>
          <w:trHeight w:val="340"/>
        </w:trPr>
        <w:tc>
          <w:tcPr>
            <w:tcW w:w="835" w:type="pct"/>
            <w:gridSpan w:val="2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7628034" w14:textId="3C55D911" w:rsidR="00454195" w:rsidRPr="00454195" w:rsidRDefault="00B43671" w:rsidP="004541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14:00-15:15 (Abu Dhabi Time)</w:t>
            </w:r>
          </w:p>
        </w:tc>
        <w:tc>
          <w:tcPr>
            <w:tcW w:w="41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8DD3A28" w14:textId="2E6EF37E" w:rsidR="00454195" w:rsidRPr="00454195" w:rsidRDefault="00454195" w:rsidP="00454195">
            <w:pPr>
              <w:rPr>
                <w:b/>
                <w:bCs/>
                <w:sz w:val="20"/>
                <w:szCs w:val="20"/>
              </w:rPr>
            </w:pPr>
            <w:r w:rsidRPr="00454195">
              <w:rPr>
                <w:b/>
                <w:bCs/>
                <w:sz w:val="20"/>
                <w:szCs w:val="20"/>
              </w:rPr>
              <w:t xml:space="preserve">WTO Accession </w:t>
            </w:r>
            <w:r w:rsidR="003B5A4E" w:rsidRPr="00454195">
              <w:rPr>
                <w:b/>
                <w:bCs/>
                <w:sz w:val="20"/>
                <w:szCs w:val="20"/>
              </w:rPr>
              <w:t>Fundamentals:</w:t>
            </w:r>
            <w:r w:rsidRPr="00454195">
              <w:rPr>
                <w:b/>
                <w:bCs/>
                <w:sz w:val="20"/>
                <w:szCs w:val="20"/>
              </w:rPr>
              <w:t xml:space="preserve"> Overview and Procedures</w:t>
            </w:r>
          </w:p>
          <w:p w14:paraId="5A0D069E" w14:textId="77777777" w:rsidR="00454195" w:rsidRPr="00454195" w:rsidRDefault="00454195" w:rsidP="00454195">
            <w:pPr>
              <w:rPr>
                <w:b/>
                <w:sz w:val="20"/>
                <w:szCs w:val="20"/>
                <w:u w:val="single"/>
              </w:rPr>
            </w:pPr>
            <w:r w:rsidRPr="00454195">
              <w:rPr>
                <w:sz w:val="20"/>
                <w:szCs w:val="20"/>
              </w:rPr>
              <w:t>[Accessions Division, WTO]</w:t>
            </w:r>
          </w:p>
        </w:tc>
      </w:tr>
      <w:tr w:rsidR="0057196A" w:rsidRPr="00454195" w14:paraId="0B0C7A73" w14:textId="77777777" w:rsidTr="00623461">
        <w:trPr>
          <w:trHeight w:val="340"/>
        </w:trPr>
        <w:tc>
          <w:tcPr>
            <w:tcW w:w="835" w:type="pct"/>
            <w:gridSpan w:val="2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EE194EF" w14:textId="77777777" w:rsidR="0057196A" w:rsidRPr="003B5A4E" w:rsidRDefault="0057196A" w:rsidP="004541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F1B72B5" w14:textId="35542AD1" w:rsidR="0057196A" w:rsidRPr="0057196A" w:rsidRDefault="0057196A" w:rsidP="00454195">
            <w:pPr>
              <w:rPr>
                <w:i/>
                <w:iCs/>
                <w:sz w:val="20"/>
                <w:szCs w:val="20"/>
              </w:rPr>
            </w:pPr>
            <w:r w:rsidRPr="0057196A">
              <w:rPr>
                <w:i/>
                <w:iCs/>
                <w:sz w:val="20"/>
                <w:szCs w:val="20"/>
              </w:rPr>
              <w:t>Objectives: -</w:t>
            </w:r>
            <w:r w:rsidRPr="0057196A">
              <w:rPr>
                <w:i/>
                <w:iCs/>
                <w:sz w:val="20"/>
                <w:szCs w:val="20"/>
              </w:rPr>
              <w:tab/>
              <w:t>to increase participants’ knowledge of the WTO accession process and accession-related rules</w:t>
            </w:r>
          </w:p>
        </w:tc>
      </w:tr>
      <w:tr w:rsidR="00B43671" w:rsidRPr="00454195" w14:paraId="4962EBA9" w14:textId="77777777" w:rsidTr="00B43671">
        <w:trPr>
          <w:trHeight w:val="340"/>
        </w:trPr>
        <w:tc>
          <w:tcPr>
            <w:tcW w:w="835" w:type="pct"/>
            <w:gridSpan w:val="2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14:paraId="084001C8" w14:textId="61EDD691" w:rsidR="00B43671" w:rsidRPr="003B5A4E" w:rsidRDefault="00B43671" w:rsidP="00454195">
            <w:pPr>
              <w:rPr>
                <w:b/>
                <w:bCs/>
                <w:sz w:val="20"/>
                <w:szCs w:val="20"/>
              </w:rPr>
            </w:pPr>
            <w:bookmarkStart w:id="2" w:name="_Hlk50458962"/>
            <w:r>
              <w:rPr>
                <w:b/>
                <w:bCs/>
                <w:sz w:val="20"/>
                <w:szCs w:val="20"/>
              </w:rPr>
              <w:t>15:15-15:30</w:t>
            </w:r>
          </w:p>
        </w:tc>
        <w:tc>
          <w:tcPr>
            <w:tcW w:w="41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14:paraId="1A910B15" w14:textId="4A9B0B38" w:rsidR="00B43671" w:rsidRPr="0057196A" w:rsidRDefault="00B43671" w:rsidP="0045419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Short Break</w:t>
            </w:r>
          </w:p>
        </w:tc>
      </w:tr>
      <w:bookmarkEnd w:id="2"/>
      <w:tr w:rsidR="00D31652" w:rsidRPr="00454195" w14:paraId="183A12D0" w14:textId="77777777" w:rsidTr="00EA7B5B">
        <w:trPr>
          <w:trHeight w:val="779"/>
        </w:trPr>
        <w:tc>
          <w:tcPr>
            <w:tcW w:w="5000" w:type="pct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26369D37" w14:textId="566EE15F" w:rsidR="00D31652" w:rsidRPr="00454195" w:rsidRDefault="00D31652" w:rsidP="00EA7B5B">
            <w:pPr>
              <w:rPr>
                <w:b/>
                <w:i/>
                <w:sz w:val="20"/>
                <w:szCs w:val="20"/>
              </w:rPr>
            </w:pPr>
            <w:r w:rsidRPr="00454195">
              <w:rPr>
                <w:b/>
                <w:i/>
                <w:sz w:val="20"/>
                <w:szCs w:val="20"/>
              </w:rPr>
              <w:t xml:space="preserve">Session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454195">
              <w:rPr>
                <w:b/>
                <w:i/>
                <w:sz w:val="20"/>
                <w:szCs w:val="20"/>
              </w:rPr>
              <w:t xml:space="preserve">:  Economic Performance of WTO Arab countries </w:t>
            </w:r>
          </w:p>
        </w:tc>
      </w:tr>
      <w:tr w:rsidR="00D31652" w:rsidRPr="00454195" w14:paraId="394FAFEA" w14:textId="77777777" w:rsidTr="00EA7B5B">
        <w:trPr>
          <w:trHeight w:val="340"/>
        </w:trPr>
        <w:tc>
          <w:tcPr>
            <w:tcW w:w="835" w:type="pct"/>
            <w:gridSpan w:val="2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6F06226" w14:textId="4B8D328D" w:rsidR="00D31652" w:rsidRPr="00454195" w:rsidRDefault="00B43671" w:rsidP="00EA7B5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15:30-17:00</w:t>
            </w:r>
          </w:p>
        </w:tc>
        <w:tc>
          <w:tcPr>
            <w:tcW w:w="41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EF20234" w14:textId="77777777" w:rsidR="00D31652" w:rsidRPr="004F1E4B" w:rsidRDefault="00D31652" w:rsidP="00EA7B5B">
            <w:pPr>
              <w:rPr>
                <w:b/>
                <w:iCs/>
                <w:sz w:val="20"/>
                <w:szCs w:val="20"/>
              </w:rPr>
            </w:pPr>
            <w:r w:rsidRPr="004F1E4B">
              <w:rPr>
                <w:b/>
                <w:iCs/>
                <w:sz w:val="20"/>
                <w:szCs w:val="20"/>
              </w:rPr>
              <w:t xml:space="preserve">Economic Performance of WTO Arab </w:t>
            </w:r>
            <w:proofErr w:type="gramStart"/>
            <w:r w:rsidRPr="004F1E4B">
              <w:rPr>
                <w:b/>
                <w:iCs/>
                <w:sz w:val="20"/>
                <w:szCs w:val="20"/>
              </w:rPr>
              <w:t>countries :</w:t>
            </w:r>
            <w:proofErr w:type="gramEnd"/>
            <w:r w:rsidRPr="004F1E4B">
              <w:rPr>
                <w:b/>
                <w:iCs/>
                <w:sz w:val="20"/>
                <w:szCs w:val="20"/>
              </w:rPr>
              <w:t xml:space="preserve"> Economic Diversification and Structural Reform in Post COVID-19 Pandemic Era</w:t>
            </w:r>
          </w:p>
          <w:p w14:paraId="354B59C9" w14:textId="77777777" w:rsidR="00D31652" w:rsidRPr="00454195" w:rsidRDefault="00D31652" w:rsidP="00EA7B5B">
            <w:pPr>
              <w:rPr>
                <w:bCs/>
                <w:i/>
                <w:sz w:val="20"/>
                <w:szCs w:val="20"/>
              </w:rPr>
            </w:pPr>
            <w:r w:rsidRPr="00454195">
              <w:rPr>
                <w:bCs/>
                <w:i/>
                <w:sz w:val="20"/>
                <w:szCs w:val="20"/>
              </w:rPr>
              <w:t xml:space="preserve">Arab Monetary Fund </w:t>
            </w:r>
          </w:p>
          <w:p w14:paraId="26C04625" w14:textId="77777777" w:rsidR="00D31652" w:rsidRPr="00454195" w:rsidRDefault="00D31652" w:rsidP="00EA7B5B">
            <w:pPr>
              <w:rPr>
                <w:b/>
                <w:i/>
                <w:sz w:val="20"/>
                <w:szCs w:val="20"/>
              </w:rPr>
            </w:pPr>
            <w:r w:rsidRPr="00454195">
              <w:rPr>
                <w:bCs/>
                <w:i/>
                <w:sz w:val="20"/>
                <w:szCs w:val="20"/>
              </w:rPr>
              <w:t>Islamic Development Bank</w:t>
            </w:r>
          </w:p>
        </w:tc>
      </w:tr>
      <w:tr w:rsidR="00D31652" w:rsidRPr="00454195" w14:paraId="1CF4AE51" w14:textId="77777777" w:rsidTr="00EA7B5B">
        <w:trPr>
          <w:trHeight w:val="340"/>
        </w:trPr>
        <w:tc>
          <w:tcPr>
            <w:tcW w:w="835" w:type="pct"/>
            <w:gridSpan w:val="2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11C7FDF" w14:textId="77777777" w:rsidR="00D31652" w:rsidRPr="008559EA" w:rsidRDefault="00D31652" w:rsidP="00EA7B5B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1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D625C02" w14:textId="77777777" w:rsidR="00D31652" w:rsidRDefault="00D31652" w:rsidP="00EA7B5B">
            <w:pPr>
              <w:rPr>
                <w:bCs/>
                <w:i/>
                <w:sz w:val="20"/>
                <w:szCs w:val="20"/>
              </w:rPr>
            </w:pPr>
            <w:r w:rsidRPr="0057196A">
              <w:rPr>
                <w:bCs/>
                <w:i/>
                <w:sz w:val="20"/>
                <w:szCs w:val="20"/>
              </w:rPr>
              <w:t xml:space="preserve">Objectives: </w:t>
            </w:r>
            <w:r>
              <w:rPr>
                <w:bCs/>
                <w:i/>
                <w:sz w:val="20"/>
                <w:szCs w:val="20"/>
              </w:rPr>
              <w:t xml:space="preserve">to share with participants recent developments in Arab economies and impact of the COVID-19 pandemic. </w:t>
            </w:r>
          </w:p>
          <w:p w14:paraId="4170BC4D" w14:textId="77777777" w:rsidR="00D31652" w:rsidRPr="0057196A" w:rsidRDefault="00D31652" w:rsidP="00EA7B5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454195" w:rsidRPr="00454195" w14:paraId="19500B81" w14:textId="77777777" w:rsidTr="00623461">
        <w:trPr>
          <w:trHeight w:val="831"/>
        </w:trPr>
        <w:tc>
          <w:tcPr>
            <w:tcW w:w="5000" w:type="pct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/>
            <w:vAlign w:val="center"/>
          </w:tcPr>
          <w:p w14:paraId="0BC82C16" w14:textId="5FD28941" w:rsidR="00454195" w:rsidRPr="00454195" w:rsidRDefault="00454195" w:rsidP="00454195">
            <w:pPr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i/>
                <w:sz w:val="20"/>
                <w:szCs w:val="20"/>
              </w:rPr>
            </w:pPr>
            <w:r w:rsidRPr="00454195">
              <w:rPr>
                <w:rFonts w:ascii="Calibri" w:eastAsia="Calibri" w:hAnsi="Calibri" w:cs="Arial"/>
                <w:b/>
                <w:bCs/>
                <w:i/>
                <w:sz w:val="20"/>
                <w:szCs w:val="20"/>
              </w:rPr>
              <w:t xml:space="preserve">DAY 2: </w:t>
            </w:r>
            <w:r w:rsidR="00D31652">
              <w:rPr>
                <w:rFonts w:ascii="Calibri" w:eastAsia="Calibri" w:hAnsi="Calibri" w:cs="Arial"/>
                <w:b/>
                <w:bCs/>
                <w:i/>
                <w:sz w:val="20"/>
                <w:szCs w:val="20"/>
              </w:rPr>
              <w:t>Monday</w:t>
            </w:r>
            <w:r w:rsidRPr="00454195">
              <w:rPr>
                <w:rFonts w:ascii="Calibri" w:eastAsia="Calibri" w:hAnsi="Calibri" w:cs="Arial"/>
                <w:b/>
                <w:bCs/>
                <w:i/>
                <w:sz w:val="20"/>
                <w:szCs w:val="20"/>
              </w:rPr>
              <w:t xml:space="preserve">, </w:t>
            </w:r>
            <w:r w:rsidR="00D31652">
              <w:rPr>
                <w:rFonts w:ascii="Calibri" w:eastAsia="Calibri" w:hAnsi="Calibri" w:cs="Arial"/>
                <w:b/>
                <w:bCs/>
                <w:i/>
                <w:sz w:val="20"/>
                <w:szCs w:val="20"/>
              </w:rPr>
              <w:t>9</w:t>
            </w:r>
            <w:r w:rsidRPr="00454195">
              <w:rPr>
                <w:rFonts w:ascii="Calibri" w:eastAsia="Calibri" w:hAnsi="Calibri" w:cs="Arial"/>
                <w:b/>
                <w:bCs/>
                <w:i/>
                <w:sz w:val="20"/>
                <w:szCs w:val="20"/>
              </w:rPr>
              <w:t xml:space="preserve"> NOVEMBER 2020</w:t>
            </w:r>
          </w:p>
        </w:tc>
      </w:tr>
      <w:tr w:rsidR="00D31652" w:rsidRPr="00454195" w14:paraId="352603F5" w14:textId="77777777" w:rsidTr="00D31652">
        <w:trPr>
          <w:trHeight w:val="831"/>
        </w:trPr>
        <w:tc>
          <w:tcPr>
            <w:tcW w:w="5000" w:type="pct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8F33430" w14:textId="48A58E33" w:rsidR="00D31652" w:rsidRPr="00D31652" w:rsidRDefault="00D31652" w:rsidP="00D31652">
            <w:pPr>
              <w:spacing w:before="120" w:after="120"/>
              <w:rPr>
                <w:rFonts w:ascii="Calibri" w:eastAsia="Calibri" w:hAnsi="Calibri" w:cs="Arial"/>
                <w:b/>
                <w:bCs/>
                <w:i/>
                <w:sz w:val="20"/>
                <w:szCs w:val="20"/>
              </w:rPr>
            </w:pPr>
            <w:r w:rsidRPr="00D31652">
              <w:rPr>
                <w:rFonts w:ascii="Calibri" w:eastAsia="Calibri" w:hAnsi="Calibri" w:cs="Arial"/>
                <w:b/>
                <w:bCs/>
                <w:i/>
                <w:sz w:val="20"/>
                <w:szCs w:val="20"/>
              </w:rPr>
              <w:t xml:space="preserve">Session </w:t>
            </w:r>
            <w:r>
              <w:rPr>
                <w:rFonts w:ascii="Calibri" w:eastAsia="Calibri" w:hAnsi="Calibri" w:cs="Arial"/>
                <w:b/>
                <w:bCs/>
                <w:i/>
                <w:sz w:val="20"/>
                <w:szCs w:val="20"/>
              </w:rPr>
              <w:t>3</w:t>
            </w:r>
            <w:r w:rsidRPr="00D31652">
              <w:rPr>
                <w:rFonts w:ascii="Calibri" w:eastAsia="Calibri" w:hAnsi="Calibri" w:cs="Arial"/>
                <w:b/>
                <w:bCs/>
                <w:i/>
                <w:sz w:val="20"/>
                <w:szCs w:val="20"/>
              </w:rPr>
              <w:t>:  Commemorating Oman’s 20 Years’ anniversary of WTO Accession/</w:t>
            </w:r>
            <w:r>
              <w:rPr>
                <w:rFonts w:ascii="Calibri" w:eastAsia="Calibri" w:hAnsi="Calibri" w:cs="Arial"/>
                <w:b/>
                <w:bCs/>
                <w:i/>
                <w:sz w:val="20"/>
                <w:szCs w:val="20"/>
              </w:rPr>
              <w:t xml:space="preserve"> </w:t>
            </w:r>
            <w:r w:rsidRPr="00D31652">
              <w:rPr>
                <w:rFonts w:ascii="Calibri" w:eastAsia="Calibri" w:hAnsi="Calibri" w:cs="Arial"/>
                <w:b/>
                <w:bCs/>
                <w:i/>
                <w:sz w:val="20"/>
                <w:szCs w:val="20"/>
              </w:rPr>
              <w:t>Experience Sharing Article XII Members</w:t>
            </w:r>
          </w:p>
        </w:tc>
      </w:tr>
      <w:tr w:rsidR="00D31652" w:rsidRPr="00454195" w14:paraId="69A0E846" w14:textId="77777777" w:rsidTr="00EA7B5B">
        <w:trPr>
          <w:trHeight w:val="340"/>
        </w:trPr>
        <w:tc>
          <w:tcPr>
            <w:tcW w:w="835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E72A4C6" w14:textId="13058317" w:rsidR="00D31652" w:rsidRPr="00454195" w:rsidRDefault="00B43671" w:rsidP="00EA7B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14:00-15:15</w:t>
            </w:r>
          </w:p>
        </w:tc>
        <w:tc>
          <w:tcPr>
            <w:tcW w:w="41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F280071" w14:textId="77777777" w:rsidR="00D31652" w:rsidRPr="00454195" w:rsidRDefault="00D31652" w:rsidP="00EA7B5B">
            <w:pPr>
              <w:rPr>
                <w:sz w:val="20"/>
                <w:szCs w:val="20"/>
              </w:rPr>
            </w:pPr>
            <w:r w:rsidRPr="00454195">
              <w:rPr>
                <w:sz w:val="20"/>
                <w:szCs w:val="20"/>
              </w:rPr>
              <w:t xml:space="preserve">Moderator: </w:t>
            </w:r>
            <w:r>
              <w:rPr>
                <w:sz w:val="20"/>
                <w:szCs w:val="20"/>
              </w:rPr>
              <w:t xml:space="preserve">Ms. </w:t>
            </w:r>
            <w:r w:rsidRPr="00454195">
              <w:rPr>
                <w:sz w:val="20"/>
                <w:szCs w:val="20"/>
              </w:rPr>
              <w:t>Mena Hassan, Legal/Economic Affairs Officer, Accessions Division, WTO</w:t>
            </w:r>
          </w:p>
          <w:p w14:paraId="1CA5D7F4" w14:textId="77777777" w:rsidR="00D31652" w:rsidRPr="00454195" w:rsidRDefault="00D31652" w:rsidP="00EA7B5B">
            <w:pPr>
              <w:ind w:left="567"/>
              <w:rPr>
                <w:sz w:val="20"/>
                <w:szCs w:val="20"/>
              </w:rPr>
            </w:pPr>
            <w:r w:rsidRPr="00454195">
              <w:rPr>
                <w:sz w:val="20"/>
                <w:szCs w:val="20"/>
              </w:rPr>
              <w:t>- Representative from Oman</w:t>
            </w:r>
          </w:p>
          <w:p w14:paraId="215A6A82" w14:textId="77777777" w:rsidR="00D31652" w:rsidRPr="00454195" w:rsidRDefault="00D31652" w:rsidP="00EA7B5B">
            <w:pPr>
              <w:rPr>
                <w:sz w:val="20"/>
                <w:szCs w:val="20"/>
              </w:rPr>
            </w:pPr>
            <w:r w:rsidRPr="00454195">
              <w:rPr>
                <w:sz w:val="20"/>
                <w:szCs w:val="20"/>
              </w:rPr>
              <w:t>[Two speakers to be added from the Arab Region/Development Partner/other WTO members]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51"/>
            </w:tblGrid>
            <w:tr w:rsidR="00D31652" w:rsidRPr="00454195" w14:paraId="453340CF" w14:textId="77777777" w:rsidTr="00EA7B5B">
              <w:trPr>
                <w:trHeight w:val="332"/>
              </w:trPr>
              <w:tc>
                <w:tcPr>
                  <w:tcW w:w="0" w:type="auto"/>
                </w:tcPr>
                <w:p w14:paraId="24B4BFEA" w14:textId="77777777" w:rsidR="00D31652" w:rsidRPr="00454195" w:rsidRDefault="00D31652" w:rsidP="00EA7B5B">
                  <w:pPr>
                    <w:rPr>
                      <w:sz w:val="20"/>
                      <w:szCs w:val="20"/>
                    </w:rPr>
                  </w:pPr>
                  <w:r w:rsidRPr="00454195">
                    <w:rPr>
                      <w:sz w:val="20"/>
                      <w:szCs w:val="20"/>
                    </w:rPr>
                    <w:t xml:space="preserve">followed by Open Discussion </w:t>
                  </w:r>
                </w:p>
              </w:tc>
            </w:tr>
          </w:tbl>
          <w:p w14:paraId="5A4A2601" w14:textId="77777777" w:rsidR="00D31652" w:rsidRPr="00454195" w:rsidRDefault="00D31652" w:rsidP="00EA7B5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1652" w:rsidRPr="00454195" w14:paraId="6802E92D" w14:textId="77777777" w:rsidTr="00EA7B5B">
        <w:trPr>
          <w:trHeight w:val="340"/>
        </w:trPr>
        <w:tc>
          <w:tcPr>
            <w:tcW w:w="835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CFBC58E" w14:textId="77777777" w:rsidR="00D31652" w:rsidRDefault="00D31652" w:rsidP="00EA7B5B">
            <w:pPr>
              <w:rPr>
                <w:b/>
                <w:bCs/>
                <w:sz w:val="20"/>
                <w:szCs w:val="20"/>
              </w:rPr>
            </w:pPr>
            <w:bookmarkStart w:id="3" w:name="_Hlk50368282"/>
          </w:p>
        </w:tc>
        <w:tc>
          <w:tcPr>
            <w:tcW w:w="41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1D6C9A7" w14:textId="77777777" w:rsidR="00D31652" w:rsidRPr="0057196A" w:rsidRDefault="00D31652" w:rsidP="00EA7B5B">
            <w:pPr>
              <w:rPr>
                <w:i/>
                <w:iCs/>
                <w:sz w:val="20"/>
                <w:szCs w:val="20"/>
              </w:rPr>
            </w:pPr>
            <w:r w:rsidRPr="0057196A">
              <w:rPr>
                <w:i/>
                <w:iCs/>
                <w:sz w:val="20"/>
                <w:szCs w:val="20"/>
              </w:rPr>
              <w:t>Objectives: -</w:t>
            </w:r>
            <w:r w:rsidRPr="0057196A">
              <w:rPr>
                <w:i/>
                <w:iCs/>
                <w:sz w:val="20"/>
                <w:szCs w:val="20"/>
              </w:rPr>
              <w:tab/>
              <w:t xml:space="preserve">to </w:t>
            </w:r>
            <w:r>
              <w:rPr>
                <w:i/>
                <w:iCs/>
                <w:sz w:val="20"/>
                <w:szCs w:val="20"/>
              </w:rPr>
              <w:t>commemorate Oman's 20</w:t>
            </w:r>
            <w:r w:rsidRPr="0057196A">
              <w:rPr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i/>
                <w:iCs/>
                <w:sz w:val="20"/>
                <w:szCs w:val="20"/>
              </w:rPr>
              <w:t xml:space="preserve"> Anniversary of WTO Membership and share experiences with other Article XII Members and Acceding Governments</w:t>
            </w:r>
          </w:p>
        </w:tc>
      </w:tr>
      <w:tr w:rsidR="00B43671" w:rsidRPr="00454195" w14:paraId="152A4151" w14:textId="77777777" w:rsidTr="00B43671">
        <w:trPr>
          <w:trHeight w:val="340"/>
        </w:trPr>
        <w:tc>
          <w:tcPr>
            <w:tcW w:w="835" w:type="pct"/>
            <w:gridSpan w:val="2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14:paraId="2E5490C9" w14:textId="7A60CD87" w:rsidR="00B43671" w:rsidRPr="003B5A4E" w:rsidRDefault="00B43671" w:rsidP="00EA7B5B">
            <w:pPr>
              <w:rPr>
                <w:b/>
                <w:bCs/>
                <w:sz w:val="20"/>
                <w:szCs w:val="20"/>
              </w:rPr>
            </w:pPr>
            <w:bookmarkStart w:id="4" w:name="_Hlk50459053"/>
            <w:r>
              <w:rPr>
                <w:b/>
                <w:bCs/>
                <w:sz w:val="20"/>
                <w:szCs w:val="20"/>
              </w:rPr>
              <w:t>15:15-15:30</w:t>
            </w:r>
          </w:p>
        </w:tc>
        <w:tc>
          <w:tcPr>
            <w:tcW w:w="41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14:paraId="7D432D35" w14:textId="77777777" w:rsidR="00B43671" w:rsidRPr="0057196A" w:rsidRDefault="00B43671" w:rsidP="00EA7B5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Short Break</w:t>
            </w:r>
          </w:p>
        </w:tc>
      </w:tr>
      <w:bookmarkEnd w:id="3"/>
      <w:bookmarkEnd w:id="4"/>
      <w:tr w:rsidR="00524868" w:rsidRPr="00B21C95" w14:paraId="38A310BF" w14:textId="77777777" w:rsidTr="00EA7B5B">
        <w:trPr>
          <w:trHeight w:val="340"/>
        </w:trPr>
        <w:tc>
          <w:tcPr>
            <w:tcW w:w="5000" w:type="pct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5EF002AA" w14:textId="5448D4A5" w:rsidR="00524868" w:rsidRPr="00B21C95" w:rsidRDefault="00524868" w:rsidP="00EA7B5B">
            <w:pPr>
              <w:rPr>
                <w:b/>
                <w:i/>
                <w:sz w:val="20"/>
                <w:szCs w:val="20"/>
              </w:rPr>
            </w:pPr>
            <w:r w:rsidRPr="00B21C95">
              <w:rPr>
                <w:b/>
                <w:i/>
                <w:sz w:val="20"/>
                <w:szCs w:val="20"/>
              </w:rPr>
              <w:t xml:space="preserve">Session </w:t>
            </w:r>
            <w:r w:rsidR="004F1E4B">
              <w:rPr>
                <w:b/>
                <w:i/>
                <w:sz w:val="20"/>
                <w:szCs w:val="20"/>
              </w:rPr>
              <w:t>4:</w:t>
            </w:r>
            <w:r w:rsidRPr="00B21C95">
              <w:rPr>
                <w:b/>
                <w:i/>
                <w:sz w:val="20"/>
                <w:szCs w:val="20"/>
              </w:rPr>
              <w:t xml:space="preserve">  WTO Accession of the Arab Region: State of Play</w:t>
            </w:r>
          </w:p>
        </w:tc>
      </w:tr>
      <w:tr w:rsidR="00524868" w:rsidRPr="00B21C95" w14:paraId="0210E1B9" w14:textId="77777777" w:rsidTr="00EA7B5B">
        <w:trPr>
          <w:trHeight w:val="1270"/>
        </w:trPr>
        <w:tc>
          <w:tcPr>
            <w:tcW w:w="835" w:type="pct"/>
            <w:gridSpan w:val="2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2C632D2" w14:textId="339548BA" w:rsidR="00524868" w:rsidRPr="00B21C95" w:rsidRDefault="00B43671" w:rsidP="00EA7B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15:30-17:00</w:t>
            </w:r>
          </w:p>
        </w:tc>
        <w:tc>
          <w:tcPr>
            <w:tcW w:w="41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8988E69" w14:textId="77777777" w:rsidR="00524868" w:rsidRPr="00B21C95" w:rsidRDefault="00524868" w:rsidP="00EA7B5B">
            <w:pPr>
              <w:rPr>
                <w:b/>
                <w:bCs/>
                <w:sz w:val="20"/>
                <w:szCs w:val="20"/>
              </w:rPr>
            </w:pPr>
            <w:r w:rsidRPr="00B21C95">
              <w:rPr>
                <w:b/>
                <w:bCs/>
                <w:sz w:val="20"/>
                <w:szCs w:val="20"/>
              </w:rPr>
              <w:t xml:space="preserve">Accession State of Play — Overview </w:t>
            </w:r>
          </w:p>
          <w:p w14:paraId="3F9C301B" w14:textId="6469ECB7" w:rsidR="00524868" w:rsidRDefault="00524868" w:rsidP="00EA7B5B">
            <w:pPr>
              <w:rPr>
                <w:sz w:val="20"/>
                <w:szCs w:val="20"/>
              </w:rPr>
            </w:pPr>
            <w:r w:rsidRPr="00B21C9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Moderator: </w:t>
            </w:r>
            <w:r w:rsidRPr="00B21C95">
              <w:rPr>
                <w:sz w:val="20"/>
                <w:szCs w:val="20"/>
              </w:rPr>
              <w:t>Ms. Maika Oshikawa, Director, Accessions Division, WTO</w:t>
            </w:r>
          </w:p>
          <w:p w14:paraId="65EE4D1B" w14:textId="361BBB9B" w:rsidR="00524868" w:rsidRPr="00B21C95" w:rsidRDefault="002B0386" w:rsidP="002B0386">
            <w:pPr>
              <w:ind w:left="56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Representatives from Arab Acceding Governments </w:t>
            </w:r>
          </w:p>
        </w:tc>
      </w:tr>
      <w:tr w:rsidR="00524868" w:rsidRPr="00454195" w14:paraId="64A3D4A5" w14:textId="77777777" w:rsidTr="00EA7B5B">
        <w:trPr>
          <w:trHeight w:val="340"/>
        </w:trPr>
        <w:tc>
          <w:tcPr>
            <w:tcW w:w="835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CB032AC" w14:textId="77777777" w:rsidR="00524868" w:rsidRDefault="00524868" w:rsidP="00EA7B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07E3428" w14:textId="7E399CE1" w:rsidR="00524868" w:rsidRPr="0057196A" w:rsidRDefault="00524868" w:rsidP="002B0386">
            <w:pPr>
              <w:rPr>
                <w:i/>
                <w:iCs/>
                <w:sz w:val="20"/>
                <w:szCs w:val="20"/>
              </w:rPr>
            </w:pPr>
            <w:r w:rsidRPr="0057196A">
              <w:rPr>
                <w:i/>
                <w:iCs/>
                <w:sz w:val="20"/>
                <w:szCs w:val="20"/>
              </w:rPr>
              <w:t xml:space="preserve">Objectives: </w:t>
            </w:r>
            <w:r>
              <w:rPr>
                <w:i/>
                <w:iCs/>
                <w:sz w:val="20"/>
                <w:szCs w:val="20"/>
              </w:rPr>
              <w:t xml:space="preserve">Acceding Governments </w:t>
            </w:r>
            <w:r w:rsidR="002B0386">
              <w:rPr>
                <w:i/>
                <w:iCs/>
                <w:sz w:val="20"/>
                <w:szCs w:val="20"/>
              </w:rPr>
              <w:t>to update Members and WTO on the</w:t>
            </w:r>
            <w:r>
              <w:rPr>
                <w:i/>
                <w:iCs/>
                <w:sz w:val="20"/>
                <w:szCs w:val="20"/>
              </w:rPr>
              <w:t xml:space="preserve"> State-of-Play of Accessions</w:t>
            </w:r>
            <w:r w:rsidR="002B0386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2B0386" w:rsidRPr="002B0386">
              <w:rPr>
                <w:i/>
                <w:iCs/>
                <w:sz w:val="20"/>
                <w:szCs w:val="20"/>
              </w:rPr>
              <w:t>It will provide for an exchange of views on the accession roadmaps, negotiating achievements and specific challenges, as well as possible ways to facilitate and expedite conclusion.</w:t>
            </w:r>
          </w:p>
        </w:tc>
      </w:tr>
      <w:tr w:rsidR="00B21C95" w:rsidRPr="00B21C95" w14:paraId="594239D9" w14:textId="77777777" w:rsidTr="00B21C95">
        <w:trPr>
          <w:trHeight w:val="818"/>
        </w:trPr>
        <w:tc>
          <w:tcPr>
            <w:tcW w:w="5000" w:type="pct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14:paraId="2B683EE9" w14:textId="3CC40C62" w:rsidR="00B21C95" w:rsidRPr="00B21C95" w:rsidRDefault="00B21C95" w:rsidP="00B21C95">
            <w:pPr>
              <w:jc w:val="center"/>
              <w:rPr>
                <w:b/>
                <w:sz w:val="20"/>
                <w:szCs w:val="20"/>
              </w:rPr>
            </w:pPr>
            <w:bookmarkStart w:id="5" w:name="_Hlk37773406"/>
            <w:r w:rsidRPr="00B21C95">
              <w:rPr>
                <w:b/>
                <w:bCs/>
                <w:i/>
                <w:iCs/>
                <w:sz w:val="20"/>
                <w:szCs w:val="20"/>
              </w:rPr>
              <w:t xml:space="preserve">DAY 3: </w:t>
            </w:r>
            <w:r w:rsidR="00D31652" w:rsidRPr="004D2A94">
              <w:rPr>
                <w:b/>
                <w:bCs/>
                <w:i/>
                <w:iCs/>
                <w:sz w:val="20"/>
                <w:szCs w:val="20"/>
              </w:rPr>
              <w:t>Tue</w:t>
            </w:r>
            <w:r w:rsidR="00D06366" w:rsidRPr="004D2A94">
              <w:rPr>
                <w:b/>
                <w:bCs/>
                <w:i/>
                <w:iCs/>
                <w:sz w:val="20"/>
                <w:szCs w:val="20"/>
              </w:rPr>
              <w:t>s</w:t>
            </w:r>
            <w:r w:rsidR="00D31652" w:rsidRPr="004D2A94">
              <w:rPr>
                <w:b/>
                <w:bCs/>
                <w:i/>
                <w:iCs/>
                <w:sz w:val="20"/>
                <w:szCs w:val="20"/>
              </w:rPr>
              <w:t>day,</w:t>
            </w:r>
            <w:r w:rsidR="00D31652">
              <w:rPr>
                <w:b/>
                <w:bCs/>
                <w:i/>
                <w:iCs/>
                <w:sz w:val="20"/>
                <w:szCs w:val="20"/>
              </w:rPr>
              <w:t xml:space="preserve"> 10</w:t>
            </w:r>
            <w:r w:rsidR="003B5A4E">
              <w:rPr>
                <w:b/>
                <w:bCs/>
                <w:i/>
                <w:iCs/>
                <w:sz w:val="20"/>
                <w:szCs w:val="20"/>
              </w:rPr>
              <w:t xml:space="preserve"> NOVEMBER</w:t>
            </w:r>
            <w:r w:rsidRPr="00B21C95">
              <w:rPr>
                <w:b/>
                <w:bCs/>
                <w:i/>
                <w:iCs/>
                <w:sz w:val="20"/>
                <w:szCs w:val="20"/>
              </w:rPr>
              <w:t xml:space="preserve"> 2020</w:t>
            </w:r>
          </w:p>
        </w:tc>
      </w:tr>
      <w:tr w:rsidR="002B0386" w:rsidRPr="00B21C95" w14:paraId="662D370F" w14:textId="77777777" w:rsidTr="00EA7B5B">
        <w:trPr>
          <w:trHeight w:val="340"/>
        </w:trPr>
        <w:tc>
          <w:tcPr>
            <w:tcW w:w="5000" w:type="pct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FFFFFF" w:themeFill="background1"/>
            <w:vAlign w:val="center"/>
          </w:tcPr>
          <w:p w14:paraId="4C07E6C7" w14:textId="29A4B1D0" w:rsidR="002B0386" w:rsidRPr="00B21C95" w:rsidRDefault="002B0386" w:rsidP="00EA7B5B">
            <w:pPr>
              <w:rPr>
                <w:b/>
                <w:sz w:val="20"/>
                <w:szCs w:val="20"/>
              </w:rPr>
            </w:pPr>
            <w:r w:rsidRPr="00B21C95">
              <w:rPr>
                <w:b/>
                <w:sz w:val="20"/>
                <w:szCs w:val="20"/>
              </w:rPr>
              <w:t xml:space="preserve">Session </w:t>
            </w:r>
            <w:r w:rsidR="004F1E4B">
              <w:rPr>
                <w:b/>
                <w:sz w:val="20"/>
                <w:szCs w:val="20"/>
              </w:rPr>
              <w:t>5</w:t>
            </w:r>
            <w:r w:rsidRPr="00B21C95">
              <w:rPr>
                <w:b/>
                <w:sz w:val="20"/>
                <w:szCs w:val="20"/>
              </w:rPr>
              <w:t xml:space="preserve">:  Accession-specific Technical Assistance </w:t>
            </w:r>
          </w:p>
        </w:tc>
      </w:tr>
      <w:tr w:rsidR="002B0386" w:rsidRPr="00B21C95" w14:paraId="38A70751" w14:textId="77777777" w:rsidTr="00EA7B5B">
        <w:trPr>
          <w:trHeight w:val="340"/>
        </w:trPr>
        <w:tc>
          <w:tcPr>
            <w:tcW w:w="835" w:type="pct"/>
            <w:gridSpan w:val="2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FA62153" w14:textId="770E3AC7" w:rsidR="002B0386" w:rsidRPr="00B21C95" w:rsidRDefault="00B43671" w:rsidP="00EA7B5B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14:00-15:30</w:t>
            </w:r>
          </w:p>
        </w:tc>
        <w:tc>
          <w:tcPr>
            <w:tcW w:w="41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5359560D" w14:textId="77777777" w:rsidR="002B0386" w:rsidRPr="00B21C95" w:rsidRDefault="002B0386" w:rsidP="00EA7B5B">
            <w:pPr>
              <w:rPr>
                <w:b/>
                <w:bCs/>
                <w:sz w:val="20"/>
                <w:szCs w:val="20"/>
              </w:rPr>
            </w:pPr>
            <w:r w:rsidRPr="00B21C95">
              <w:rPr>
                <w:b/>
                <w:bCs/>
                <w:sz w:val="20"/>
                <w:szCs w:val="20"/>
              </w:rPr>
              <w:t>Identification of Technical Assistance and Support for Arab Acceding Governments</w:t>
            </w:r>
          </w:p>
          <w:p w14:paraId="5AED3D42" w14:textId="77777777" w:rsidR="00B92128" w:rsidRDefault="00D31652" w:rsidP="00B9212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Moderator:  Mr. Samer Seif </w:t>
            </w:r>
            <w:r w:rsidR="00D06366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l Yazal, </w:t>
            </w:r>
            <w:r w:rsidR="00B43671" w:rsidRPr="00B43671">
              <w:rPr>
                <w:sz w:val="20"/>
                <w:szCs w:val="20"/>
              </w:rPr>
              <w:t>Head of the Arab and CEECAC Regional Desk</w:t>
            </w:r>
            <w:r>
              <w:rPr>
                <w:sz w:val="20"/>
                <w:szCs w:val="20"/>
              </w:rPr>
              <w:t>,</w:t>
            </w:r>
            <w:r w:rsidR="00B43671">
              <w:rPr>
                <w:sz w:val="20"/>
                <w:szCs w:val="20"/>
              </w:rPr>
              <w:t xml:space="preserve"> ITTC,</w:t>
            </w:r>
          </w:p>
          <w:p w14:paraId="5507305B" w14:textId="3985BE95" w:rsidR="00D31652" w:rsidRDefault="00D31652" w:rsidP="00B9212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WTO </w:t>
            </w:r>
          </w:p>
          <w:p w14:paraId="254715F4" w14:textId="39EAE981" w:rsidR="002B0386" w:rsidRPr="00B21C95" w:rsidRDefault="00D31652" w:rsidP="00EA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Representatives from the</w:t>
            </w:r>
            <w:r w:rsidR="002B0386" w:rsidRPr="00B21C95">
              <w:rPr>
                <w:sz w:val="20"/>
                <w:szCs w:val="20"/>
              </w:rPr>
              <w:t xml:space="preserve"> AMF – IsDB- </w:t>
            </w:r>
            <w:r>
              <w:rPr>
                <w:sz w:val="20"/>
                <w:szCs w:val="20"/>
              </w:rPr>
              <w:t>ITC- UNDP</w:t>
            </w:r>
          </w:p>
          <w:p w14:paraId="3321F454" w14:textId="77777777" w:rsidR="002B0386" w:rsidRPr="00B21C95" w:rsidRDefault="002B0386" w:rsidP="00EA7B5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0386" w:rsidRPr="00B21C95" w14:paraId="467A362C" w14:textId="77777777" w:rsidTr="00EA7B5B">
        <w:trPr>
          <w:trHeight w:val="340"/>
        </w:trPr>
        <w:tc>
          <w:tcPr>
            <w:tcW w:w="835" w:type="pct"/>
            <w:gridSpan w:val="2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AD08F3B" w14:textId="77777777" w:rsidR="002B0386" w:rsidRPr="008559EA" w:rsidRDefault="002B0386" w:rsidP="00EA7B5B">
            <w:pPr>
              <w:rPr>
                <w:b/>
                <w:sz w:val="20"/>
                <w:szCs w:val="20"/>
              </w:rPr>
            </w:pPr>
          </w:p>
        </w:tc>
        <w:tc>
          <w:tcPr>
            <w:tcW w:w="41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2E13BE59" w14:textId="77777777" w:rsidR="002B0386" w:rsidRPr="00B21C95" w:rsidRDefault="002B0386" w:rsidP="00EA7B5B">
            <w:pPr>
              <w:rPr>
                <w:b/>
                <w:bCs/>
                <w:sz w:val="20"/>
                <w:szCs w:val="20"/>
              </w:rPr>
            </w:pPr>
            <w:r w:rsidRPr="0057196A">
              <w:rPr>
                <w:i/>
                <w:iCs/>
                <w:sz w:val="20"/>
                <w:szCs w:val="20"/>
              </w:rPr>
              <w:t xml:space="preserve">Objectives: </w:t>
            </w:r>
            <w:r>
              <w:rPr>
                <w:i/>
                <w:iCs/>
                <w:sz w:val="20"/>
                <w:szCs w:val="20"/>
              </w:rPr>
              <w:t>to help identify technical assistance and support needs for Arab Acceding Governments with the relevant stakeholders and development partners</w:t>
            </w:r>
          </w:p>
        </w:tc>
      </w:tr>
      <w:tr w:rsidR="00B43671" w:rsidRPr="00454195" w14:paraId="5D0C3072" w14:textId="77777777" w:rsidTr="00B43671">
        <w:trPr>
          <w:trHeight w:val="340"/>
        </w:trPr>
        <w:tc>
          <w:tcPr>
            <w:tcW w:w="835" w:type="pct"/>
            <w:gridSpan w:val="2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14:paraId="00B1A321" w14:textId="2279CE78" w:rsidR="00B43671" w:rsidRPr="003B5A4E" w:rsidRDefault="00B43671" w:rsidP="00EA7B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15:30-15:45</w:t>
            </w:r>
          </w:p>
        </w:tc>
        <w:tc>
          <w:tcPr>
            <w:tcW w:w="41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14:paraId="39CBDDE3" w14:textId="77777777" w:rsidR="00B43671" w:rsidRPr="0057196A" w:rsidRDefault="00B43671" w:rsidP="00EA7B5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Short Break</w:t>
            </w:r>
          </w:p>
        </w:tc>
      </w:tr>
      <w:tr w:rsidR="00B21C95" w:rsidRPr="00B21C95" w14:paraId="3952C082" w14:textId="77777777" w:rsidTr="00B21C95">
        <w:trPr>
          <w:trHeight w:val="340"/>
        </w:trPr>
        <w:tc>
          <w:tcPr>
            <w:tcW w:w="5000" w:type="pct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5CB2256D" w14:textId="55CC4507" w:rsidR="00B21C95" w:rsidRPr="00B21C95" w:rsidRDefault="00B21C95" w:rsidP="00B21C95">
            <w:pPr>
              <w:rPr>
                <w:b/>
                <w:sz w:val="20"/>
                <w:szCs w:val="20"/>
                <w:lang w:val="en-GB"/>
              </w:rPr>
            </w:pPr>
            <w:r w:rsidRPr="00B21C95">
              <w:rPr>
                <w:b/>
                <w:sz w:val="20"/>
                <w:szCs w:val="20"/>
                <w:lang w:val="en-GB"/>
              </w:rPr>
              <w:t xml:space="preserve">Session </w:t>
            </w:r>
            <w:r w:rsidR="004F1E4B">
              <w:rPr>
                <w:b/>
                <w:sz w:val="20"/>
                <w:szCs w:val="20"/>
                <w:lang w:val="en-GB"/>
              </w:rPr>
              <w:t>6</w:t>
            </w:r>
            <w:r w:rsidRPr="00B21C95">
              <w:rPr>
                <w:b/>
                <w:sz w:val="20"/>
                <w:szCs w:val="20"/>
                <w:lang w:val="en-GB"/>
              </w:rPr>
              <w:t xml:space="preserve">:  </w:t>
            </w:r>
            <w:r w:rsidR="002B0386">
              <w:rPr>
                <w:b/>
                <w:sz w:val="20"/>
                <w:szCs w:val="20"/>
                <w:lang w:val="en-GB"/>
              </w:rPr>
              <w:t>Trade for Peace</w:t>
            </w:r>
          </w:p>
        </w:tc>
      </w:tr>
      <w:tr w:rsidR="00B21C95" w:rsidRPr="00B21C95" w14:paraId="23C498A7" w14:textId="77777777" w:rsidTr="00B21C95">
        <w:trPr>
          <w:trHeight w:val="340"/>
        </w:trPr>
        <w:tc>
          <w:tcPr>
            <w:tcW w:w="835" w:type="pct"/>
            <w:gridSpan w:val="2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36B00302" w14:textId="179AD134" w:rsidR="00B21C95" w:rsidRPr="00B21C95" w:rsidRDefault="00B43671" w:rsidP="00B21C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15:45-17:00</w:t>
            </w:r>
          </w:p>
        </w:tc>
        <w:tc>
          <w:tcPr>
            <w:tcW w:w="41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9703E05" w14:textId="2ED3D9D7" w:rsidR="00B21C95" w:rsidRPr="00B21C95" w:rsidRDefault="002B0386" w:rsidP="00B21C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Trade for Peace</w:t>
            </w:r>
          </w:p>
          <w:p w14:paraId="063E6C12" w14:textId="1223D759" w:rsidR="00B21C95" w:rsidRPr="002B0386" w:rsidRDefault="00B21C95" w:rsidP="002B0386">
            <w:pPr>
              <w:rPr>
                <w:sz w:val="20"/>
                <w:szCs w:val="20"/>
                <w:u w:val="single"/>
              </w:rPr>
            </w:pPr>
            <w:r w:rsidRPr="002B0386">
              <w:rPr>
                <w:sz w:val="20"/>
                <w:szCs w:val="20"/>
              </w:rPr>
              <w:t xml:space="preserve">- </w:t>
            </w:r>
            <w:r w:rsidR="002B0386" w:rsidRPr="002B0386">
              <w:rPr>
                <w:sz w:val="20"/>
                <w:szCs w:val="20"/>
              </w:rPr>
              <w:t xml:space="preserve"> World Bank</w:t>
            </w:r>
            <w:r w:rsidR="002B0386">
              <w:rPr>
                <w:sz w:val="20"/>
                <w:szCs w:val="20"/>
              </w:rPr>
              <w:t xml:space="preserve"> [TB</w:t>
            </w:r>
            <w:r w:rsidR="000C42A9">
              <w:rPr>
                <w:sz w:val="20"/>
                <w:szCs w:val="20"/>
              </w:rPr>
              <w:t>C</w:t>
            </w:r>
            <w:r w:rsidR="002B0386">
              <w:rPr>
                <w:sz w:val="20"/>
                <w:szCs w:val="20"/>
              </w:rPr>
              <w:t>]</w:t>
            </w:r>
          </w:p>
        </w:tc>
      </w:tr>
      <w:tr w:rsidR="0057196A" w:rsidRPr="00B21C95" w14:paraId="113D52A3" w14:textId="77777777" w:rsidTr="00B21C95">
        <w:trPr>
          <w:trHeight w:val="340"/>
        </w:trPr>
        <w:tc>
          <w:tcPr>
            <w:tcW w:w="835" w:type="pct"/>
            <w:gridSpan w:val="2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4F6A65C7" w14:textId="77777777" w:rsidR="0057196A" w:rsidRDefault="0057196A" w:rsidP="00B21C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FCF5D5B" w14:textId="45423F36" w:rsidR="0057196A" w:rsidRPr="0057196A" w:rsidRDefault="0057196A" w:rsidP="00B21C95">
            <w:pPr>
              <w:rPr>
                <w:i/>
                <w:iCs/>
                <w:sz w:val="20"/>
                <w:szCs w:val="20"/>
              </w:rPr>
            </w:pPr>
            <w:r w:rsidRPr="0057196A">
              <w:rPr>
                <w:i/>
                <w:iCs/>
                <w:sz w:val="20"/>
                <w:szCs w:val="20"/>
              </w:rPr>
              <w:t xml:space="preserve">Objectives: </w:t>
            </w:r>
            <w:r w:rsidR="002B0386">
              <w:rPr>
                <w:i/>
                <w:iCs/>
                <w:sz w:val="20"/>
                <w:szCs w:val="20"/>
              </w:rPr>
              <w:t xml:space="preserve">several Arab acceding governments are </w:t>
            </w:r>
            <w:proofErr w:type="gramStart"/>
            <w:r w:rsidR="002B0386">
              <w:rPr>
                <w:i/>
                <w:iCs/>
                <w:sz w:val="20"/>
                <w:szCs w:val="20"/>
              </w:rPr>
              <w:t>fragile</w:t>
            </w:r>
            <w:proofErr w:type="gramEnd"/>
            <w:r w:rsidR="002B0386">
              <w:rPr>
                <w:i/>
                <w:iCs/>
                <w:sz w:val="20"/>
                <w:szCs w:val="20"/>
              </w:rPr>
              <w:t xml:space="preserve"> and conflict affected. This session will exhibit how trade can be an important vehicle for peace.</w:t>
            </w:r>
          </w:p>
        </w:tc>
      </w:tr>
      <w:tr w:rsidR="004F57D0" w:rsidRPr="00B21C95" w14:paraId="5F85E7E3" w14:textId="77777777" w:rsidTr="00B21C95">
        <w:trPr>
          <w:trHeight w:val="340"/>
        </w:trPr>
        <w:tc>
          <w:tcPr>
            <w:tcW w:w="835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 w:themeFill="accent1" w:themeFillTint="66"/>
            <w:vAlign w:val="center"/>
          </w:tcPr>
          <w:p w14:paraId="18AC442A" w14:textId="329BBF1B" w:rsidR="004F57D0" w:rsidRPr="00B21C95" w:rsidRDefault="00B43671" w:rsidP="004F57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17:00-17:15</w:t>
            </w:r>
          </w:p>
        </w:tc>
        <w:tc>
          <w:tcPr>
            <w:tcW w:w="41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 w:themeFill="accent1" w:themeFillTint="66"/>
            <w:vAlign w:val="center"/>
          </w:tcPr>
          <w:p w14:paraId="23BFBE0D" w14:textId="77777777" w:rsidR="004F57D0" w:rsidRPr="00B21C95" w:rsidRDefault="004F57D0" w:rsidP="004F57D0">
            <w:pPr>
              <w:rPr>
                <w:b/>
                <w:bCs/>
                <w:sz w:val="20"/>
                <w:szCs w:val="20"/>
              </w:rPr>
            </w:pPr>
            <w:r w:rsidRPr="00B21C95">
              <w:rPr>
                <w:b/>
                <w:bCs/>
                <w:sz w:val="20"/>
                <w:szCs w:val="20"/>
              </w:rPr>
              <w:t>Closing Session</w:t>
            </w:r>
          </w:p>
          <w:p w14:paraId="0DEAB472" w14:textId="77777777" w:rsidR="004F57D0" w:rsidRPr="00B21C95" w:rsidRDefault="004F57D0" w:rsidP="004F57D0">
            <w:pPr>
              <w:rPr>
                <w:sz w:val="20"/>
                <w:szCs w:val="20"/>
              </w:rPr>
            </w:pPr>
            <w:r w:rsidRPr="00B21C95">
              <w:rPr>
                <w:sz w:val="20"/>
                <w:szCs w:val="20"/>
              </w:rPr>
              <w:t>Accessions Division, WTO/ ITTC, WTO</w:t>
            </w:r>
          </w:p>
          <w:p w14:paraId="001923FA" w14:textId="77777777" w:rsidR="004F57D0" w:rsidRPr="00B21C95" w:rsidRDefault="004F57D0" w:rsidP="004F57D0">
            <w:pPr>
              <w:rPr>
                <w:b/>
                <w:bCs/>
                <w:sz w:val="20"/>
                <w:szCs w:val="20"/>
              </w:rPr>
            </w:pPr>
            <w:r w:rsidRPr="00B21C95">
              <w:rPr>
                <w:sz w:val="20"/>
                <w:szCs w:val="20"/>
              </w:rPr>
              <w:t>AMF</w:t>
            </w:r>
          </w:p>
        </w:tc>
      </w:tr>
      <w:bookmarkEnd w:id="5"/>
    </w:tbl>
    <w:p w14:paraId="2D021A2E" w14:textId="7DDD20A0" w:rsidR="00850889" w:rsidRDefault="00850889" w:rsidP="008A7BB6">
      <w:pPr>
        <w:rPr>
          <w:sz w:val="20"/>
          <w:szCs w:val="20"/>
        </w:rPr>
      </w:pPr>
    </w:p>
    <w:p w14:paraId="61554C00" w14:textId="77777777" w:rsidR="00623461" w:rsidRDefault="00623461" w:rsidP="00623461">
      <w:pPr>
        <w:rPr>
          <w:b/>
          <w:bCs/>
          <w:caps/>
          <w:color w:val="006283"/>
          <w:szCs w:val="18"/>
        </w:rPr>
      </w:pPr>
    </w:p>
    <w:p w14:paraId="74895814" w14:textId="77777777" w:rsidR="00623461" w:rsidRDefault="00623461" w:rsidP="00623461">
      <w:pPr>
        <w:rPr>
          <w:b/>
          <w:bCs/>
          <w:caps/>
          <w:color w:val="006283"/>
          <w:szCs w:val="18"/>
        </w:rPr>
      </w:pPr>
    </w:p>
    <w:p w14:paraId="5CE4505B" w14:textId="77777777" w:rsidR="00623461" w:rsidRDefault="00623461" w:rsidP="00623461">
      <w:pPr>
        <w:rPr>
          <w:b/>
          <w:bCs/>
          <w:caps/>
          <w:color w:val="006283"/>
          <w:szCs w:val="18"/>
        </w:rPr>
      </w:pPr>
    </w:p>
    <w:p w14:paraId="7E34E64A" w14:textId="65DF7908" w:rsidR="00623461" w:rsidRPr="00623461" w:rsidRDefault="00623461" w:rsidP="00623461">
      <w:pPr>
        <w:pStyle w:val="ListParagraph"/>
        <w:numPr>
          <w:ilvl w:val="0"/>
          <w:numId w:val="25"/>
        </w:numPr>
        <w:rPr>
          <w:b/>
          <w:bCs/>
          <w:caps/>
          <w:color w:val="006283"/>
          <w:szCs w:val="18"/>
        </w:rPr>
      </w:pPr>
      <w:r w:rsidRPr="00623461">
        <w:rPr>
          <w:b/>
          <w:bCs/>
          <w:caps/>
          <w:color w:val="006283"/>
          <w:szCs w:val="18"/>
        </w:rPr>
        <w:lastRenderedPageBreak/>
        <w:t>Invited Participants</w:t>
      </w:r>
    </w:p>
    <w:p w14:paraId="4E73A250" w14:textId="77777777" w:rsidR="00623461" w:rsidRPr="000E263A" w:rsidRDefault="00623461" w:rsidP="00623461">
      <w:pPr>
        <w:tabs>
          <w:tab w:val="left" w:pos="567"/>
        </w:tabs>
        <w:spacing w:before="240" w:after="240"/>
        <w:ind w:left="360"/>
        <w:rPr>
          <w:b/>
          <w:bCs/>
          <w:color w:val="006283"/>
          <w:szCs w:val="18"/>
        </w:rPr>
      </w:pPr>
      <w:r w:rsidRPr="000E263A">
        <w:rPr>
          <w:b/>
          <w:bCs/>
          <w:color w:val="006283"/>
          <w:szCs w:val="18"/>
        </w:rPr>
        <w:t>Acceding Governments</w:t>
      </w:r>
      <w:r>
        <w:rPr>
          <w:b/>
          <w:bCs/>
          <w:color w:val="006283"/>
          <w:szCs w:val="18"/>
        </w:rPr>
        <w:t xml:space="preserve"> </w:t>
      </w:r>
    </w:p>
    <w:p w14:paraId="4526B399" w14:textId="77777777" w:rsidR="00623461" w:rsidRDefault="00623461" w:rsidP="00623461">
      <w:pPr>
        <w:pStyle w:val="ListParagraph"/>
        <w:numPr>
          <w:ilvl w:val="0"/>
          <w:numId w:val="21"/>
        </w:numPr>
        <w:spacing w:after="0" w:line="240" w:lineRule="auto"/>
        <w:jc w:val="both"/>
      </w:pPr>
      <w:r>
        <w:tab/>
        <w:t>Algeria</w:t>
      </w:r>
    </w:p>
    <w:p w14:paraId="78C4DAEE" w14:textId="77777777" w:rsidR="00623461" w:rsidRDefault="00623461" w:rsidP="00623461">
      <w:pPr>
        <w:pStyle w:val="ListParagraph"/>
        <w:numPr>
          <w:ilvl w:val="0"/>
          <w:numId w:val="21"/>
        </w:numPr>
        <w:spacing w:after="0" w:line="240" w:lineRule="auto"/>
        <w:jc w:val="both"/>
      </w:pPr>
      <w:r>
        <w:tab/>
        <w:t>Comoros</w:t>
      </w:r>
    </w:p>
    <w:p w14:paraId="330FE14F" w14:textId="77777777" w:rsidR="00623461" w:rsidRDefault="00623461" w:rsidP="00623461">
      <w:pPr>
        <w:pStyle w:val="ListParagraph"/>
        <w:numPr>
          <w:ilvl w:val="0"/>
          <w:numId w:val="21"/>
        </w:numPr>
        <w:spacing w:after="0" w:line="240" w:lineRule="auto"/>
        <w:jc w:val="both"/>
      </w:pPr>
      <w:r>
        <w:tab/>
        <w:t>Iraq</w:t>
      </w:r>
    </w:p>
    <w:p w14:paraId="03436F7E" w14:textId="77777777" w:rsidR="00623461" w:rsidRDefault="00623461" w:rsidP="00623461">
      <w:pPr>
        <w:pStyle w:val="ListParagraph"/>
        <w:numPr>
          <w:ilvl w:val="0"/>
          <w:numId w:val="21"/>
        </w:numPr>
        <w:spacing w:after="0" w:line="240" w:lineRule="auto"/>
        <w:jc w:val="both"/>
      </w:pPr>
      <w:r>
        <w:tab/>
        <w:t>Lebanese Republic</w:t>
      </w:r>
    </w:p>
    <w:p w14:paraId="4D18D571" w14:textId="2B6371FA" w:rsidR="00623461" w:rsidRDefault="00623461" w:rsidP="00623461">
      <w:pPr>
        <w:pStyle w:val="ListParagraph"/>
        <w:numPr>
          <w:ilvl w:val="0"/>
          <w:numId w:val="21"/>
        </w:numPr>
        <w:spacing w:after="0" w:line="240" w:lineRule="auto"/>
        <w:jc w:val="both"/>
      </w:pPr>
      <w:r>
        <w:t xml:space="preserve">        Libya</w:t>
      </w:r>
    </w:p>
    <w:p w14:paraId="4CC13162" w14:textId="77777777" w:rsidR="00623461" w:rsidRDefault="00623461" w:rsidP="00623461">
      <w:pPr>
        <w:pStyle w:val="ListParagraph"/>
        <w:numPr>
          <w:ilvl w:val="0"/>
          <w:numId w:val="21"/>
        </w:numPr>
        <w:spacing w:after="0" w:line="240" w:lineRule="auto"/>
        <w:jc w:val="both"/>
      </w:pPr>
      <w:r>
        <w:tab/>
        <w:t>Somalia</w:t>
      </w:r>
    </w:p>
    <w:p w14:paraId="2A906B92" w14:textId="77777777" w:rsidR="00623461" w:rsidRDefault="00623461" w:rsidP="00623461">
      <w:pPr>
        <w:pStyle w:val="ListParagraph"/>
        <w:numPr>
          <w:ilvl w:val="0"/>
          <w:numId w:val="21"/>
        </w:numPr>
        <w:spacing w:after="0" w:line="240" w:lineRule="auto"/>
        <w:jc w:val="both"/>
      </w:pPr>
      <w:r>
        <w:tab/>
        <w:t xml:space="preserve">Sudan </w:t>
      </w:r>
    </w:p>
    <w:p w14:paraId="017B9A42" w14:textId="77777777" w:rsidR="00623461" w:rsidRDefault="00623461" w:rsidP="00623461">
      <w:pPr>
        <w:pStyle w:val="ListParagraph"/>
        <w:numPr>
          <w:ilvl w:val="0"/>
          <w:numId w:val="21"/>
        </w:numPr>
        <w:spacing w:after="0" w:line="240" w:lineRule="auto"/>
        <w:jc w:val="both"/>
      </w:pPr>
      <w:r>
        <w:tab/>
        <w:t>Syrian Arab Republic</w:t>
      </w:r>
    </w:p>
    <w:p w14:paraId="7DD97DC3" w14:textId="77777777" w:rsidR="00623461" w:rsidRPr="005B1FA6" w:rsidRDefault="00623461" w:rsidP="00623461">
      <w:pPr>
        <w:spacing w:after="0" w:line="240" w:lineRule="auto"/>
        <w:ind w:left="360"/>
        <w:jc w:val="both"/>
      </w:pPr>
    </w:p>
    <w:p w14:paraId="1BBA8CFE" w14:textId="77777777" w:rsidR="00623461" w:rsidRPr="000E263A" w:rsidRDefault="00623461" w:rsidP="00623461">
      <w:pPr>
        <w:ind w:left="360"/>
        <w:rPr>
          <w:b/>
          <w:bCs/>
          <w:color w:val="006283"/>
          <w:szCs w:val="18"/>
        </w:rPr>
      </w:pPr>
      <w:r w:rsidRPr="000E263A">
        <w:rPr>
          <w:b/>
          <w:bCs/>
          <w:color w:val="006283"/>
          <w:szCs w:val="18"/>
        </w:rPr>
        <w:t>Article XII Members</w:t>
      </w:r>
      <w:r>
        <w:rPr>
          <w:b/>
          <w:bCs/>
          <w:color w:val="006283"/>
          <w:szCs w:val="18"/>
        </w:rPr>
        <w:t xml:space="preserve"> </w:t>
      </w:r>
    </w:p>
    <w:p w14:paraId="5EBFA18C" w14:textId="62B79987" w:rsidR="00623461" w:rsidRDefault="00D06366" w:rsidP="00623461">
      <w:pPr>
        <w:pStyle w:val="ListParagraph"/>
        <w:numPr>
          <w:ilvl w:val="0"/>
          <w:numId w:val="22"/>
        </w:numPr>
        <w:spacing w:after="0" w:line="240" w:lineRule="auto"/>
        <w:jc w:val="both"/>
      </w:pPr>
      <w:r>
        <w:tab/>
      </w:r>
      <w:r w:rsidR="00623461">
        <w:t>Oman</w:t>
      </w:r>
    </w:p>
    <w:p w14:paraId="78A55751" w14:textId="3889B0DA" w:rsidR="00623461" w:rsidRDefault="00D06366" w:rsidP="00623461">
      <w:pPr>
        <w:pStyle w:val="ListParagraph"/>
        <w:numPr>
          <w:ilvl w:val="0"/>
          <w:numId w:val="22"/>
        </w:numPr>
        <w:spacing w:after="0" w:line="240" w:lineRule="auto"/>
        <w:jc w:val="both"/>
      </w:pPr>
      <w:r>
        <w:tab/>
      </w:r>
      <w:r w:rsidR="00623461">
        <w:t>Jordan</w:t>
      </w:r>
    </w:p>
    <w:p w14:paraId="7A13A7FF" w14:textId="155268C0" w:rsidR="00623461" w:rsidRDefault="00D06366" w:rsidP="00623461">
      <w:pPr>
        <w:pStyle w:val="ListParagraph"/>
        <w:numPr>
          <w:ilvl w:val="0"/>
          <w:numId w:val="22"/>
        </w:numPr>
        <w:spacing w:after="0" w:line="240" w:lineRule="auto"/>
        <w:jc w:val="both"/>
      </w:pPr>
      <w:r>
        <w:tab/>
      </w:r>
      <w:r w:rsidR="00623461">
        <w:t>Saudi Arabia</w:t>
      </w:r>
    </w:p>
    <w:p w14:paraId="5F20DF4A" w14:textId="15894127" w:rsidR="00623461" w:rsidRDefault="00D06366" w:rsidP="00623461">
      <w:pPr>
        <w:pStyle w:val="ListParagraph"/>
        <w:numPr>
          <w:ilvl w:val="0"/>
          <w:numId w:val="22"/>
        </w:numPr>
        <w:spacing w:after="0" w:line="240" w:lineRule="auto"/>
        <w:jc w:val="both"/>
      </w:pPr>
      <w:r>
        <w:tab/>
      </w:r>
      <w:r w:rsidR="00623461">
        <w:t>Yemen</w:t>
      </w:r>
    </w:p>
    <w:p w14:paraId="0B230B41" w14:textId="77777777" w:rsidR="00623461" w:rsidRPr="000E263A" w:rsidRDefault="00623461" w:rsidP="00623461">
      <w:pPr>
        <w:tabs>
          <w:tab w:val="left" w:pos="567"/>
        </w:tabs>
        <w:spacing w:before="240" w:after="240"/>
        <w:ind w:left="360"/>
        <w:rPr>
          <w:b/>
          <w:bCs/>
          <w:color w:val="006283"/>
          <w:szCs w:val="18"/>
        </w:rPr>
      </w:pPr>
      <w:r w:rsidRPr="000E263A">
        <w:rPr>
          <w:b/>
          <w:bCs/>
          <w:color w:val="006283"/>
          <w:szCs w:val="18"/>
        </w:rPr>
        <w:t xml:space="preserve">Members </w:t>
      </w:r>
    </w:p>
    <w:p w14:paraId="5A736945" w14:textId="77273D15" w:rsidR="00623461" w:rsidRPr="000934DE" w:rsidRDefault="00623461" w:rsidP="00623461">
      <w:pPr>
        <w:spacing w:after="0" w:line="240" w:lineRule="auto"/>
        <w:jc w:val="both"/>
      </w:pPr>
      <w:r>
        <w:t xml:space="preserve">       </w:t>
      </w:r>
      <w:r w:rsidRPr="000934DE">
        <w:t>[Members can all be invited considering no cost implication for virtual event]</w:t>
      </w:r>
    </w:p>
    <w:p w14:paraId="7559E5E1" w14:textId="77777777" w:rsidR="00623461" w:rsidRDefault="00623461" w:rsidP="00623461">
      <w:pPr>
        <w:tabs>
          <w:tab w:val="left" w:pos="567"/>
        </w:tabs>
        <w:spacing w:before="240" w:after="240"/>
        <w:ind w:left="360"/>
        <w:rPr>
          <w:b/>
          <w:bCs/>
          <w:color w:val="006283"/>
          <w:szCs w:val="18"/>
        </w:rPr>
      </w:pPr>
      <w:r>
        <w:rPr>
          <w:b/>
          <w:bCs/>
          <w:color w:val="006283"/>
          <w:szCs w:val="18"/>
        </w:rPr>
        <w:t xml:space="preserve">Working Party Chairpersons </w:t>
      </w:r>
    </w:p>
    <w:p w14:paraId="14D4E19A" w14:textId="124D2501" w:rsidR="00623461" w:rsidRPr="00996630" w:rsidRDefault="00623461" w:rsidP="00623461">
      <w:pPr>
        <w:spacing w:after="0" w:line="240" w:lineRule="auto"/>
        <w:jc w:val="both"/>
      </w:pPr>
      <w:r>
        <w:t xml:space="preserve">       </w:t>
      </w:r>
      <w:r w:rsidRPr="00996630">
        <w:t>1.</w:t>
      </w:r>
      <w:r>
        <w:t xml:space="preserve">   </w:t>
      </w:r>
      <w:proofErr w:type="gramStart"/>
      <w:r>
        <w:t xml:space="preserve">   </w:t>
      </w:r>
      <w:bookmarkStart w:id="6" w:name="_GoBack"/>
      <w:bookmarkEnd w:id="6"/>
      <w:r>
        <w:t>(</w:t>
      </w:r>
      <w:proofErr w:type="gramEnd"/>
      <w:r>
        <w:t>TBD)</w:t>
      </w:r>
    </w:p>
    <w:p w14:paraId="45DF83F9" w14:textId="77777777" w:rsidR="00623461" w:rsidRDefault="00623461" w:rsidP="00623461">
      <w:pPr>
        <w:spacing w:after="0" w:line="240" w:lineRule="auto"/>
        <w:jc w:val="both"/>
      </w:pPr>
      <w:r>
        <w:t xml:space="preserve">       </w:t>
      </w:r>
      <w:r w:rsidRPr="00996630">
        <w:t>2.</w:t>
      </w:r>
    </w:p>
    <w:p w14:paraId="0A04C655" w14:textId="77777777" w:rsidR="00623461" w:rsidRPr="008346E3" w:rsidRDefault="00623461" w:rsidP="00623461">
      <w:pPr>
        <w:tabs>
          <w:tab w:val="left" w:pos="567"/>
        </w:tabs>
        <w:spacing w:before="240" w:after="240"/>
        <w:ind w:left="360"/>
        <w:rPr>
          <w:b/>
          <w:bCs/>
          <w:color w:val="006283"/>
          <w:szCs w:val="18"/>
        </w:rPr>
      </w:pPr>
      <w:r w:rsidRPr="008346E3">
        <w:rPr>
          <w:b/>
          <w:bCs/>
          <w:color w:val="006283"/>
          <w:szCs w:val="18"/>
        </w:rPr>
        <w:t>International Organi</w:t>
      </w:r>
      <w:r>
        <w:rPr>
          <w:b/>
          <w:bCs/>
          <w:color w:val="006283"/>
          <w:szCs w:val="18"/>
        </w:rPr>
        <w:t>z</w:t>
      </w:r>
      <w:r w:rsidRPr="008346E3">
        <w:rPr>
          <w:b/>
          <w:bCs/>
          <w:color w:val="006283"/>
          <w:szCs w:val="18"/>
        </w:rPr>
        <w:t>ations and partners</w:t>
      </w:r>
    </w:p>
    <w:p w14:paraId="7439507D" w14:textId="77777777" w:rsidR="00623461" w:rsidRDefault="00623461" w:rsidP="00623461">
      <w:pPr>
        <w:pStyle w:val="ListParagraph"/>
        <w:numPr>
          <w:ilvl w:val="0"/>
          <w:numId w:val="20"/>
        </w:numPr>
        <w:spacing w:after="0" w:line="240" w:lineRule="auto"/>
        <w:jc w:val="both"/>
      </w:pPr>
      <w:r>
        <w:t>Arab Monetary Fund (AMF);</w:t>
      </w:r>
    </w:p>
    <w:p w14:paraId="55D1D2A8" w14:textId="77777777" w:rsidR="00623461" w:rsidRDefault="00623461" w:rsidP="00623461">
      <w:pPr>
        <w:pStyle w:val="ListParagraph"/>
        <w:numPr>
          <w:ilvl w:val="0"/>
          <w:numId w:val="20"/>
        </w:numPr>
        <w:spacing w:after="0" w:line="240" w:lineRule="auto"/>
        <w:jc w:val="both"/>
      </w:pPr>
      <w:r>
        <w:t>Islamic Development Bank</w:t>
      </w:r>
      <w:r w:rsidRPr="005602C6">
        <w:t xml:space="preserve"> Centre (</w:t>
      </w:r>
      <w:r>
        <w:t>IDB</w:t>
      </w:r>
      <w:r w:rsidRPr="005602C6">
        <w:t>)</w:t>
      </w:r>
      <w:r>
        <w:t>(TBD)</w:t>
      </w:r>
      <w:r w:rsidRPr="005602C6">
        <w:t xml:space="preserve">; </w:t>
      </w:r>
    </w:p>
    <w:p w14:paraId="6D8B4B9F" w14:textId="2B1A5E30" w:rsidR="00623461" w:rsidRDefault="00623461" w:rsidP="00623461">
      <w:pPr>
        <w:pStyle w:val="ListParagraph"/>
        <w:numPr>
          <w:ilvl w:val="0"/>
          <w:numId w:val="20"/>
        </w:numPr>
        <w:spacing w:after="0" w:line="240" w:lineRule="auto"/>
        <w:jc w:val="both"/>
      </w:pPr>
      <w:r>
        <w:t>(To be added, partners specializing in the Arab Region).</w:t>
      </w:r>
    </w:p>
    <w:p w14:paraId="2D9C14CE" w14:textId="77777777" w:rsidR="00623461" w:rsidRDefault="00623461" w:rsidP="00623461">
      <w:pPr>
        <w:spacing w:after="0" w:line="240" w:lineRule="auto"/>
        <w:ind w:left="360"/>
        <w:jc w:val="both"/>
      </w:pPr>
    </w:p>
    <w:p w14:paraId="4B246A39" w14:textId="77777777" w:rsidR="00623461" w:rsidRDefault="00623461" w:rsidP="00623461">
      <w:pPr>
        <w:pStyle w:val="ListParagraph"/>
        <w:numPr>
          <w:ilvl w:val="0"/>
          <w:numId w:val="25"/>
        </w:numPr>
        <w:rPr>
          <w:b/>
          <w:bCs/>
          <w:caps/>
          <w:color w:val="006283"/>
          <w:szCs w:val="18"/>
        </w:rPr>
      </w:pPr>
      <w:r>
        <w:rPr>
          <w:b/>
          <w:bCs/>
          <w:caps/>
          <w:color w:val="006283"/>
          <w:szCs w:val="18"/>
        </w:rPr>
        <w:t>virtual workshop</w:t>
      </w:r>
      <w:r w:rsidRPr="009C5B7E">
        <w:rPr>
          <w:b/>
          <w:bCs/>
          <w:caps/>
          <w:color w:val="006283"/>
          <w:szCs w:val="18"/>
        </w:rPr>
        <w:t xml:space="preserve"> FOCAL POINTS</w:t>
      </w:r>
    </w:p>
    <w:p w14:paraId="4F0BD8AF" w14:textId="77777777" w:rsidR="00623461" w:rsidRPr="005314FD" w:rsidRDefault="00623461" w:rsidP="00623461">
      <w:pPr>
        <w:tabs>
          <w:tab w:val="left" w:pos="567"/>
        </w:tabs>
        <w:spacing w:before="240" w:after="240"/>
        <w:ind w:left="360"/>
        <w:rPr>
          <w:b/>
          <w:bCs/>
          <w:color w:val="006283"/>
          <w:szCs w:val="18"/>
        </w:rPr>
      </w:pPr>
      <w:r w:rsidRPr="005314FD">
        <w:rPr>
          <w:b/>
          <w:bCs/>
          <w:color w:val="006283"/>
          <w:szCs w:val="18"/>
        </w:rPr>
        <w:t>Training and Capacity Building Institute (TCBI)</w:t>
      </w:r>
      <w:r>
        <w:rPr>
          <w:b/>
          <w:bCs/>
          <w:color w:val="006283"/>
          <w:szCs w:val="18"/>
        </w:rPr>
        <w:t xml:space="preserve">, </w:t>
      </w:r>
      <w:r w:rsidRPr="005314FD">
        <w:rPr>
          <w:b/>
          <w:bCs/>
          <w:color w:val="006283"/>
          <w:szCs w:val="18"/>
        </w:rPr>
        <w:t>Arab Monetary Fund</w:t>
      </w:r>
    </w:p>
    <w:p w14:paraId="14849276" w14:textId="77777777" w:rsidR="00623461" w:rsidRPr="005314FD" w:rsidRDefault="00623461" w:rsidP="00623461">
      <w:pPr>
        <w:tabs>
          <w:tab w:val="left" w:pos="567"/>
        </w:tabs>
        <w:spacing w:before="240" w:after="240"/>
        <w:ind w:left="360"/>
        <w:rPr>
          <w:szCs w:val="18"/>
        </w:rPr>
      </w:pPr>
      <w:r w:rsidRPr="005314FD">
        <w:rPr>
          <w:szCs w:val="18"/>
        </w:rPr>
        <w:t>Mrs</w:t>
      </w:r>
      <w:r>
        <w:rPr>
          <w:szCs w:val="18"/>
        </w:rPr>
        <w:t xml:space="preserve"> </w:t>
      </w:r>
      <w:r w:rsidRPr="005314FD">
        <w:rPr>
          <w:szCs w:val="18"/>
        </w:rPr>
        <w:t xml:space="preserve">Loubna Sacr </w:t>
      </w:r>
      <w:r>
        <w:rPr>
          <w:szCs w:val="18"/>
        </w:rPr>
        <w:t>(</w:t>
      </w:r>
      <w:r w:rsidRPr="005314FD">
        <w:rPr>
          <w:szCs w:val="18"/>
        </w:rPr>
        <w:t xml:space="preserve">Tel:  </w:t>
      </w:r>
      <w:r w:rsidRPr="00260E8B">
        <w:rPr>
          <w:szCs w:val="18"/>
        </w:rPr>
        <w:t>+</w:t>
      </w:r>
      <w:r w:rsidRPr="005314FD">
        <w:rPr>
          <w:szCs w:val="18"/>
        </w:rPr>
        <w:t>97</w:t>
      </w:r>
      <w:r>
        <w:rPr>
          <w:szCs w:val="18"/>
        </w:rPr>
        <w:t xml:space="preserve"> </w:t>
      </w:r>
      <w:r w:rsidRPr="005314FD">
        <w:rPr>
          <w:szCs w:val="18"/>
        </w:rPr>
        <w:t>12</w:t>
      </w:r>
      <w:r>
        <w:rPr>
          <w:szCs w:val="18"/>
        </w:rPr>
        <w:t xml:space="preserve"> </w:t>
      </w:r>
      <w:r w:rsidRPr="005314FD">
        <w:rPr>
          <w:szCs w:val="18"/>
        </w:rPr>
        <w:t>617</w:t>
      </w:r>
      <w:r>
        <w:rPr>
          <w:szCs w:val="18"/>
        </w:rPr>
        <w:t xml:space="preserve"> </w:t>
      </w:r>
      <w:r w:rsidRPr="005314FD">
        <w:rPr>
          <w:szCs w:val="18"/>
        </w:rPr>
        <w:t>1765</w:t>
      </w:r>
      <w:r>
        <w:rPr>
          <w:szCs w:val="18"/>
        </w:rPr>
        <w:t xml:space="preserve">; e-mail: </w:t>
      </w:r>
      <w:r w:rsidRPr="005314FD">
        <w:rPr>
          <w:szCs w:val="18"/>
        </w:rPr>
        <w:t>EPI@amfad.org.ae</w:t>
      </w:r>
      <w:r>
        <w:rPr>
          <w:szCs w:val="18"/>
        </w:rPr>
        <w:t>)</w:t>
      </w:r>
    </w:p>
    <w:p w14:paraId="60C426D2" w14:textId="77777777" w:rsidR="00623461" w:rsidRPr="001B2C39" w:rsidRDefault="00623461" w:rsidP="00623461">
      <w:pPr>
        <w:tabs>
          <w:tab w:val="left" w:pos="567"/>
        </w:tabs>
        <w:spacing w:before="240" w:after="240"/>
        <w:ind w:left="360"/>
        <w:rPr>
          <w:b/>
          <w:bCs/>
          <w:color w:val="006283"/>
          <w:szCs w:val="18"/>
        </w:rPr>
      </w:pPr>
      <w:bookmarkStart w:id="7" w:name="_Hlk38991880"/>
      <w:r>
        <w:rPr>
          <w:b/>
          <w:bCs/>
          <w:color w:val="006283"/>
          <w:szCs w:val="18"/>
        </w:rPr>
        <w:t>ITTC, WTO</w:t>
      </w:r>
    </w:p>
    <w:bookmarkEnd w:id="7"/>
    <w:p w14:paraId="601237BB" w14:textId="4D953FDF" w:rsidR="00623461" w:rsidRPr="00260E8B" w:rsidRDefault="00623461" w:rsidP="00623461">
      <w:pPr>
        <w:pStyle w:val="ListParagraph"/>
        <w:numPr>
          <w:ilvl w:val="0"/>
          <w:numId w:val="24"/>
        </w:numPr>
        <w:spacing w:after="0" w:line="240" w:lineRule="auto"/>
        <w:rPr>
          <w:szCs w:val="18"/>
        </w:rPr>
      </w:pPr>
      <w:r w:rsidRPr="00260E8B">
        <w:rPr>
          <w:szCs w:val="18"/>
        </w:rPr>
        <w:t xml:space="preserve">Mr </w:t>
      </w:r>
      <w:r>
        <w:rPr>
          <w:szCs w:val="18"/>
        </w:rPr>
        <w:t xml:space="preserve">Samer Seif El Yazal </w:t>
      </w:r>
      <w:r w:rsidRPr="00260E8B">
        <w:rPr>
          <w:szCs w:val="18"/>
        </w:rPr>
        <w:t xml:space="preserve">(tel: +41 22 </w:t>
      </w:r>
      <w:r>
        <w:rPr>
          <w:szCs w:val="18"/>
        </w:rPr>
        <w:t xml:space="preserve">739 54 </w:t>
      </w:r>
      <w:proofErr w:type="gramStart"/>
      <w:r>
        <w:rPr>
          <w:szCs w:val="18"/>
        </w:rPr>
        <w:t xml:space="preserve">59 </w:t>
      </w:r>
      <w:r w:rsidRPr="00260E8B">
        <w:rPr>
          <w:szCs w:val="18"/>
        </w:rPr>
        <w:t>;</w:t>
      </w:r>
      <w:proofErr w:type="gramEnd"/>
      <w:r w:rsidRPr="00260E8B">
        <w:rPr>
          <w:szCs w:val="18"/>
        </w:rPr>
        <w:t xml:space="preserve"> e-mail: </w:t>
      </w:r>
      <w:hyperlink r:id="rId9" w:history="1">
        <w:r w:rsidRPr="005314FD">
          <w:t>samer.seif@wto.org</w:t>
        </w:r>
      </w:hyperlink>
      <w:r w:rsidRPr="00260E8B">
        <w:rPr>
          <w:szCs w:val="18"/>
        </w:rPr>
        <w:t>)</w:t>
      </w:r>
      <w:r>
        <w:rPr>
          <w:szCs w:val="18"/>
        </w:rPr>
        <w:t>;</w:t>
      </w:r>
    </w:p>
    <w:p w14:paraId="35F0DAEC" w14:textId="77777777" w:rsidR="00623461" w:rsidRPr="00260E8B" w:rsidRDefault="00623461" w:rsidP="00623461">
      <w:pPr>
        <w:pStyle w:val="ListParagraph"/>
        <w:numPr>
          <w:ilvl w:val="0"/>
          <w:numId w:val="24"/>
        </w:numPr>
        <w:spacing w:after="0" w:line="240" w:lineRule="auto"/>
        <w:rPr>
          <w:szCs w:val="18"/>
        </w:rPr>
      </w:pPr>
      <w:r w:rsidRPr="00260E8B">
        <w:rPr>
          <w:szCs w:val="18"/>
        </w:rPr>
        <w:t xml:space="preserve">Mr </w:t>
      </w:r>
      <w:r>
        <w:rPr>
          <w:szCs w:val="18"/>
        </w:rPr>
        <w:t>Nadine Brouillaud</w:t>
      </w:r>
      <w:r w:rsidRPr="00260E8B">
        <w:rPr>
          <w:szCs w:val="18"/>
        </w:rPr>
        <w:t xml:space="preserve"> (tel: +41 22 </w:t>
      </w:r>
      <w:r>
        <w:rPr>
          <w:szCs w:val="18"/>
        </w:rPr>
        <w:t>739 57 46</w:t>
      </w:r>
      <w:r w:rsidRPr="00260E8B">
        <w:rPr>
          <w:szCs w:val="18"/>
        </w:rPr>
        <w:t xml:space="preserve">; e-mail: </w:t>
      </w:r>
      <w:r w:rsidRPr="005314FD">
        <w:rPr>
          <w:szCs w:val="18"/>
        </w:rPr>
        <w:t>nadine.brouillaud@wto.org</w:t>
      </w:r>
      <w:r>
        <w:rPr>
          <w:szCs w:val="18"/>
        </w:rPr>
        <w:t>).</w:t>
      </w:r>
    </w:p>
    <w:p w14:paraId="510307A6" w14:textId="77777777" w:rsidR="00623461" w:rsidRDefault="00623461" w:rsidP="00623461">
      <w:pPr>
        <w:ind w:left="360"/>
        <w:rPr>
          <w:b/>
          <w:bCs/>
          <w:color w:val="006283"/>
          <w:szCs w:val="18"/>
        </w:rPr>
      </w:pPr>
    </w:p>
    <w:p w14:paraId="2E96D1F3" w14:textId="67FF87A1" w:rsidR="00623461" w:rsidRPr="001B2C39" w:rsidRDefault="00623461" w:rsidP="00623461">
      <w:pPr>
        <w:ind w:left="360"/>
        <w:rPr>
          <w:color w:val="006283"/>
          <w:szCs w:val="18"/>
        </w:rPr>
      </w:pPr>
      <w:r w:rsidRPr="001B2C39">
        <w:rPr>
          <w:b/>
          <w:bCs/>
          <w:color w:val="006283"/>
          <w:szCs w:val="18"/>
        </w:rPr>
        <w:t xml:space="preserve">WTO Accessions Division </w:t>
      </w:r>
    </w:p>
    <w:p w14:paraId="25A9B5E3" w14:textId="1FFDFF38" w:rsidR="00623461" w:rsidRPr="00260E8B" w:rsidRDefault="00623461" w:rsidP="00623461">
      <w:pPr>
        <w:pStyle w:val="ListParagraph"/>
        <w:numPr>
          <w:ilvl w:val="0"/>
          <w:numId w:val="23"/>
        </w:numPr>
        <w:spacing w:after="0" w:line="240" w:lineRule="auto"/>
        <w:rPr>
          <w:szCs w:val="18"/>
        </w:rPr>
      </w:pPr>
      <w:r w:rsidRPr="00260E8B">
        <w:rPr>
          <w:szCs w:val="18"/>
        </w:rPr>
        <w:t>Ms Maika Oshikawa (tel: +41 22 739 56 43; e-mail</w:t>
      </w:r>
      <w:r w:rsidRPr="00C02309">
        <w:rPr>
          <w:szCs w:val="18"/>
        </w:rPr>
        <w:t>: </w:t>
      </w:r>
      <w:hyperlink r:id="rId10" w:history="1">
        <w:r w:rsidRPr="003A2DB7">
          <w:t>maika.oshikawa@wto.org</w:t>
        </w:r>
      </w:hyperlink>
      <w:r>
        <w:t xml:space="preserve">  </w:t>
      </w:r>
      <w:r w:rsidRPr="00260E8B">
        <w:rPr>
          <w:szCs w:val="18"/>
        </w:rPr>
        <w:t>)</w:t>
      </w:r>
      <w:r>
        <w:rPr>
          <w:szCs w:val="18"/>
        </w:rPr>
        <w:t>;</w:t>
      </w:r>
    </w:p>
    <w:p w14:paraId="7AB38021" w14:textId="2AD3ADE9" w:rsidR="00623461" w:rsidRDefault="00623461" w:rsidP="00623461">
      <w:pPr>
        <w:pStyle w:val="ListParagraph"/>
        <w:numPr>
          <w:ilvl w:val="0"/>
          <w:numId w:val="23"/>
        </w:numPr>
        <w:spacing w:after="0" w:line="240" w:lineRule="auto"/>
        <w:rPr>
          <w:szCs w:val="18"/>
          <w:lang w:val="es-ES"/>
        </w:rPr>
      </w:pPr>
      <w:r w:rsidRPr="00623461">
        <w:rPr>
          <w:szCs w:val="18"/>
          <w:lang w:val="es-ES"/>
        </w:rPr>
        <w:t xml:space="preserve">Ms Mena Hassan (tel: +41 22 739 65 </w:t>
      </w:r>
      <w:proofErr w:type="gramStart"/>
      <w:r w:rsidRPr="00623461">
        <w:rPr>
          <w:szCs w:val="18"/>
          <w:lang w:val="es-ES"/>
        </w:rPr>
        <w:t>22 ;</w:t>
      </w:r>
      <w:proofErr w:type="gramEnd"/>
      <w:r w:rsidRPr="00623461">
        <w:rPr>
          <w:szCs w:val="18"/>
          <w:lang w:val="es-ES"/>
        </w:rPr>
        <w:t xml:space="preserve"> e-mail: </w:t>
      </w:r>
      <w:hyperlink r:id="rId11" w:history="1">
        <w:r w:rsidRPr="00623461">
          <w:rPr>
            <w:rStyle w:val="Hyperlink"/>
            <w:szCs w:val="18"/>
            <w:lang w:val="es-ES"/>
          </w:rPr>
          <w:t>mena.hassan@wto.org</w:t>
        </w:r>
      </w:hyperlink>
      <w:r w:rsidRPr="00623461">
        <w:rPr>
          <w:szCs w:val="18"/>
          <w:lang w:val="es-ES"/>
        </w:rPr>
        <w:t>)</w:t>
      </w:r>
    </w:p>
    <w:sectPr w:rsidR="00623461" w:rsidSect="002A15FB"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A1F7F" w14:textId="77777777" w:rsidR="00936FB3" w:rsidRDefault="00936FB3" w:rsidP="00ED54E0">
      <w:r>
        <w:separator/>
      </w:r>
    </w:p>
  </w:endnote>
  <w:endnote w:type="continuationSeparator" w:id="0">
    <w:p w14:paraId="55AFFD40" w14:textId="77777777" w:rsidR="00936FB3" w:rsidRDefault="00936FB3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CEFFE" w14:textId="77777777" w:rsidR="00936FB3" w:rsidRDefault="00936FB3" w:rsidP="00ED54E0">
      <w:r>
        <w:separator/>
      </w:r>
    </w:p>
  </w:footnote>
  <w:footnote w:type="continuationSeparator" w:id="0">
    <w:p w14:paraId="5442BE97" w14:textId="77777777" w:rsidR="00936FB3" w:rsidRDefault="00936FB3" w:rsidP="00ED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707A7"/>
    <w:multiLevelType w:val="hybridMultilevel"/>
    <w:tmpl w:val="D5DC1828"/>
    <w:lvl w:ilvl="0" w:tplc="6840E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F3C83"/>
    <w:multiLevelType w:val="hybridMultilevel"/>
    <w:tmpl w:val="E75434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3174"/>
    <w:multiLevelType w:val="hybridMultilevel"/>
    <w:tmpl w:val="C750C7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D4798"/>
    <w:multiLevelType w:val="hybridMultilevel"/>
    <w:tmpl w:val="91DE931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A2076"/>
    <w:multiLevelType w:val="hybridMultilevel"/>
    <w:tmpl w:val="19D8E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7" w15:restartNumberingAfterBreak="0">
    <w:nsid w:val="57454AB1"/>
    <w:multiLevelType w:val="multilevel"/>
    <w:tmpl w:val="CC52177C"/>
    <w:numStyleLink w:val="LegalHeadings"/>
  </w:abstractNum>
  <w:abstractNum w:abstractNumId="18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9" w15:restartNumberingAfterBreak="0">
    <w:nsid w:val="5FF0407D"/>
    <w:multiLevelType w:val="hybridMultilevel"/>
    <w:tmpl w:val="79EA65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C0798"/>
    <w:multiLevelType w:val="hybridMultilevel"/>
    <w:tmpl w:val="1F2647F8"/>
    <w:lvl w:ilvl="0" w:tplc="73EA5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C40241"/>
    <w:multiLevelType w:val="hybridMultilevel"/>
    <w:tmpl w:val="871CAA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17"/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6"/>
  </w:num>
  <w:num w:numId="18">
    <w:abstractNumId w:val="22"/>
  </w:num>
  <w:num w:numId="19">
    <w:abstractNumId w:val="12"/>
  </w:num>
  <w:num w:numId="20">
    <w:abstractNumId w:val="19"/>
  </w:num>
  <w:num w:numId="21">
    <w:abstractNumId w:val="15"/>
  </w:num>
  <w:num w:numId="22">
    <w:abstractNumId w:val="13"/>
  </w:num>
  <w:num w:numId="23">
    <w:abstractNumId w:val="10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95"/>
    <w:rsid w:val="000106E0"/>
    <w:rsid w:val="000111BB"/>
    <w:rsid w:val="00022C0F"/>
    <w:rsid w:val="000272F6"/>
    <w:rsid w:val="00037AC4"/>
    <w:rsid w:val="000423BF"/>
    <w:rsid w:val="000975D0"/>
    <w:rsid w:val="000A4945"/>
    <w:rsid w:val="000B31E1"/>
    <w:rsid w:val="000C42A9"/>
    <w:rsid w:val="0011356B"/>
    <w:rsid w:val="0013337F"/>
    <w:rsid w:val="00182B84"/>
    <w:rsid w:val="001946F2"/>
    <w:rsid w:val="001D0F5C"/>
    <w:rsid w:val="001E291F"/>
    <w:rsid w:val="00233408"/>
    <w:rsid w:val="00237417"/>
    <w:rsid w:val="0027067B"/>
    <w:rsid w:val="002A15FB"/>
    <w:rsid w:val="002A6940"/>
    <w:rsid w:val="002B0386"/>
    <w:rsid w:val="002E249B"/>
    <w:rsid w:val="00304385"/>
    <w:rsid w:val="00311BE2"/>
    <w:rsid w:val="00320249"/>
    <w:rsid w:val="003572B4"/>
    <w:rsid w:val="003616BF"/>
    <w:rsid w:val="00371F2B"/>
    <w:rsid w:val="00383F10"/>
    <w:rsid w:val="003B5A4E"/>
    <w:rsid w:val="00454195"/>
    <w:rsid w:val="004551EC"/>
    <w:rsid w:val="00467032"/>
    <w:rsid w:val="0046754A"/>
    <w:rsid w:val="00493102"/>
    <w:rsid w:val="004A31FF"/>
    <w:rsid w:val="004D2A94"/>
    <w:rsid w:val="004F1E4B"/>
    <w:rsid w:val="004F203A"/>
    <w:rsid w:val="004F57D0"/>
    <w:rsid w:val="00512FF5"/>
    <w:rsid w:val="00524868"/>
    <w:rsid w:val="005336B8"/>
    <w:rsid w:val="0057196A"/>
    <w:rsid w:val="005B04B9"/>
    <w:rsid w:val="005B68C7"/>
    <w:rsid w:val="005B7054"/>
    <w:rsid w:val="005D0152"/>
    <w:rsid w:val="005D5981"/>
    <w:rsid w:val="005F30CB"/>
    <w:rsid w:val="00612644"/>
    <w:rsid w:val="00623461"/>
    <w:rsid w:val="00674CCD"/>
    <w:rsid w:val="006A18DC"/>
    <w:rsid w:val="006D6742"/>
    <w:rsid w:val="006E3654"/>
    <w:rsid w:val="006F5826"/>
    <w:rsid w:val="00700181"/>
    <w:rsid w:val="007141CF"/>
    <w:rsid w:val="00745146"/>
    <w:rsid w:val="0074635B"/>
    <w:rsid w:val="007577E3"/>
    <w:rsid w:val="00760DB3"/>
    <w:rsid w:val="00767204"/>
    <w:rsid w:val="007C79F0"/>
    <w:rsid w:val="007E6507"/>
    <w:rsid w:val="007F2B8E"/>
    <w:rsid w:val="007F2DB0"/>
    <w:rsid w:val="00801CBB"/>
    <w:rsid w:val="00803391"/>
    <w:rsid w:val="00807247"/>
    <w:rsid w:val="00840C2B"/>
    <w:rsid w:val="00850889"/>
    <w:rsid w:val="008559EA"/>
    <w:rsid w:val="008739FD"/>
    <w:rsid w:val="008A7BB6"/>
    <w:rsid w:val="008D128F"/>
    <w:rsid w:val="008E372C"/>
    <w:rsid w:val="00920FD4"/>
    <w:rsid w:val="00936FB3"/>
    <w:rsid w:val="00947C09"/>
    <w:rsid w:val="009A6F54"/>
    <w:rsid w:val="009A7E67"/>
    <w:rsid w:val="009B0823"/>
    <w:rsid w:val="00A53DCE"/>
    <w:rsid w:val="00A6057A"/>
    <w:rsid w:val="00A74017"/>
    <w:rsid w:val="00A97A1E"/>
    <w:rsid w:val="00AA332C"/>
    <w:rsid w:val="00AC24C7"/>
    <w:rsid w:val="00AC27F8"/>
    <w:rsid w:val="00AD4C72"/>
    <w:rsid w:val="00AE20ED"/>
    <w:rsid w:val="00AE2AEE"/>
    <w:rsid w:val="00B1394B"/>
    <w:rsid w:val="00B21C95"/>
    <w:rsid w:val="00B230EC"/>
    <w:rsid w:val="00B43671"/>
    <w:rsid w:val="00B50DC4"/>
    <w:rsid w:val="00B56EDC"/>
    <w:rsid w:val="00B67C16"/>
    <w:rsid w:val="00B92128"/>
    <w:rsid w:val="00BB1F84"/>
    <w:rsid w:val="00BE5468"/>
    <w:rsid w:val="00C11EAC"/>
    <w:rsid w:val="00C305D7"/>
    <w:rsid w:val="00C30F2A"/>
    <w:rsid w:val="00C43456"/>
    <w:rsid w:val="00C65C0C"/>
    <w:rsid w:val="00C808FC"/>
    <w:rsid w:val="00CC5DCA"/>
    <w:rsid w:val="00CD7D97"/>
    <w:rsid w:val="00CE3EE6"/>
    <w:rsid w:val="00CE4BA1"/>
    <w:rsid w:val="00D000C7"/>
    <w:rsid w:val="00D02850"/>
    <w:rsid w:val="00D06366"/>
    <w:rsid w:val="00D31652"/>
    <w:rsid w:val="00D5052C"/>
    <w:rsid w:val="00D52A9D"/>
    <w:rsid w:val="00D55AAD"/>
    <w:rsid w:val="00D747AE"/>
    <w:rsid w:val="00D9226C"/>
    <w:rsid w:val="00DA20BD"/>
    <w:rsid w:val="00DE50DB"/>
    <w:rsid w:val="00DF6AE1"/>
    <w:rsid w:val="00E1523A"/>
    <w:rsid w:val="00E46FD5"/>
    <w:rsid w:val="00E544BB"/>
    <w:rsid w:val="00E56545"/>
    <w:rsid w:val="00E85004"/>
    <w:rsid w:val="00EA5D4F"/>
    <w:rsid w:val="00EB6C56"/>
    <w:rsid w:val="00EB6F21"/>
    <w:rsid w:val="00ED54E0"/>
    <w:rsid w:val="00F01C13"/>
    <w:rsid w:val="00F32397"/>
    <w:rsid w:val="00F40595"/>
    <w:rsid w:val="00F949E7"/>
    <w:rsid w:val="00FA5EBC"/>
    <w:rsid w:val="00FD224A"/>
    <w:rsid w:val="00FD6CF3"/>
    <w:rsid w:val="00FD79B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1C93"/>
  <w15:chartTrackingRefBased/>
  <w15:docId w15:val="{1EB7E31A-A5A8-4B42-8CF4-4AB07270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195"/>
    <w:pPr>
      <w:spacing w:after="160" w:line="259" w:lineRule="auto"/>
    </w:pPr>
    <w:rPr>
      <w:rFonts w:eastAsiaTheme="minorEastAsia"/>
      <w:lang w:val="en-US" w:eastAsia="zh-CN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56545"/>
    <w:pPr>
      <w:ind w:firstLine="567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99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99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34"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character" w:styleId="UnresolvedMention">
    <w:name w:val="Unresolved Mention"/>
    <w:basedOn w:val="DefaultParagraphFont"/>
    <w:uiPriority w:val="99"/>
    <w:semiHidden/>
    <w:unhideWhenUsed/>
    <w:rsid w:val="0062346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803391"/>
    <w:pPr>
      <w:spacing w:after="0" w:line="240" w:lineRule="auto"/>
    </w:pPr>
    <w:rPr>
      <w:rFonts w:ascii="Calibri" w:eastAsia="SimSu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na.hassan@wto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ika.oshikawa@wt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mer.seif@wt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Hassan, Mena</dc:creator>
  <cp:keywords/>
  <dc:description/>
  <cp:lastModifiedBy>Brouillaud, Nadine</cp:lastModifiedBy>
  <cp:revision>4</cp:revision>
  <cp:lastPrinted>2020-09-08T10:19:00Z</cp:lastPrinted>
  <dcterms:created xsi:type="dcterms:W3CDTF">2020-09-14T08:12:00Z</dcterms:created>
  <dcterms:modified xsi:type="dcterms:W3CDTF">2020-09-14T09:00:00Z</dcterms:modified>
</cp:coreProperties>
</file>