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A8BE0" w14:textId="77777777" w:rsidR="00611C57" w:rsidRPr="00D05EA4" w:rsidRDefault="00611C57" w:rsidP="00611C57">
      <w:pPr>
        <w:pStyle w:val="SummarySubheader"/>
        <w:jc w:val="center"/>
        <w:rPr>
          <w:szCs w:val="18"/>
        </w:rPr>
      </w:pPr>
      <w:r w:rsidRPr="00D05EA4">
        <w:rPr>
          <w:szCs w:val="18"/>
        </w:rPr>
        <w:t>National Activity on Trade and Environment</w:t>
      </w:r>
    </w:p>
    <w:p w14:paraId="77C4DD53" w14:textId="550B7C8E" w:rsidR="00611C57" w:rsidRPr="00D05EA4" w:rsidRDefault="00611C57" w:rsidP="00611C57">
      <w:pPr>
        <w:pStyle w:val="SummarySubheader"/>
        <w:spacing w:after="0"/>
        <w:jc w:val="center"/>
        <w:rPr>
          <w:b w:val="0"/>
          <w:bCs/>
          <w:i/>
          <w:iCs/>
          <w:szCs w:val="18"/>
        </w:rPr>
      </w:pPr>
      <w:r w:rsidRPr="00D05EA4">
        <w:rPr>
          <w:b w:val="0"/>
          <w:bCs/>
          <w:i/>
          <w:iCs/>
          <w:szCs w:val="18"/>
        </w:rPr>
        <w:t xml:space="preserve">requested by the Government of </w:t>
      </w:r>
      <w:r w:rsidR="00CA47D9" w:rsidRPr="00D05EA4">
        <w:rPr>
          <w:b w:val="0"/>
          <w:bCs/>
          <w:i/>
          <w:iCs/>
          <w:szCs w:val="18"/>
        </w:rPr>
        <w:t>Thailand</w:t>
      </w:r>
    </w:p>
    <w:p w14:paraId="566BA7E5" w14:textId="77777777" w:rsidR="00611C57" w:rsidRPr="00D05EA4" w:rsidRDefault="00611C57" w:rsidP="00611C57">
      <w:pPr>
        <w:rPr>
          <w:szCs w:val="18"/>
        </w:rPr>
      </w:pPr>
    </w:p>
    <w:p w14:paraId="7B14E803" w14:textId="2054DDA4" w:rsidR="00611C57" w:rsidRPr="00D05EA4" w:rsidRDefault="00611C57" w:rsidP="00611C57">
      <w:pPr>
        <w:rPr>
          <w:szCs w:val="18"/>
        </w:rPr>
      </w:pPr>
      <w:r w:rsidRPr="00D05EA4">
        <w:rPr>
          <w:b/>
          <w:bCs/>
          <w:szCs w:val="18"/>
        </w:rPr>
        <w:t>Objectives</w:t>
      </w:r>
      <w:r w:rsidRPr="00D05EA4">
        <w:rPr>
          <w:szCs w:val="18"/>
        </w:rPr>
        <w:t>: The Government of Thailand has requested a WTO national activity to follow up o</w:t>
      </w:r>
      <w:r w:rsidR="009372DB" w:rsidRPr="00D05EA4">
        <w:rPr>
          <w:szCs w:val="18"/>
        </w:rPr>
        <w:t>n the online</w:t>
      </w:r>
      <w:r w:rsidRPr="00D05EA4">
        <w:rPr>
          <w:szCs w:val="18"/>
        </w:rPr>
        <w:t xml:space="preserve"> engagement </w:t>
      </w:r>
      <w:r w:rsidR="009372DB" w:rsidRPr="00D05EA4">
        <w:rPr>
          <w:szCs w:val="18"/>
        </w:rPr>
        <w:t>throughout 2025</w:t>
      </w:r>
      <w:r w:rsidRPr="00D05EA4">
        <w:rPr>
          <w:szCs w:val="18"/>
        </w:rPr>
        <w:t xml:space="preserve"> as part of the Action on Climate and Trade (ACT), a project launched by the WTO Secretariat in collaboration with the World Bank (WB) and the World Economic Forum (WEF). Building on the </w:t>
      </w:r>
      <w:r w:rsidR="009372DB" w:rsidRPr="00D05EA4">
        <w:rPr>
          <w:szCs w:val="18"/>
        </w:rPr>
        <w:t>scoping work and engagement throughout 2025</w:t>
      </w:r>
      <w:r w:rsidRPr="00D05EA4">
        <w:rPr>
          <w:szCs w:val="18"/>
        </w:rPr>
        <w:t xml:space="preserve">, the institutions </w:t>
      </w:r>
      <w:r w:rsidR="009372DB" w:rsidRPr="00D05EA4">
        <w:rPr>
          <w:szCs w:val="18"/>
        </w:rPr>
        <w:t>prepared</w:t>
      </w:r>
      <w:r w:rsidRPr="00D05EA4">
        <w:rPr>
          <w:szCs w:val="18"/>
        </w:rPr>
        <w:t xml:space="preserve"> </w:t>
      </w:r>
      <w:r w:rsidR="009372DB" w:rsidRPr="00D05EA4">
        <w:rPr>
          <w:szCs w:val="18"/>
        </w:rPr>
        <w:t>policy research</w:t>
      </w:r>
      <w:r w:rsidRPr="00D05EA4">
        <w:rPr>
          <w:szCs w:val="18"/>
        </w:rPr>
        <w:t xml:space="preserve"> aimed at delivering actionable recommendations on how trade and trade policies could further support </w:t>
      </w:r>
      <w:r w:rsidR="009372DB" w:rsidRPr="00D05EA4">
        <w:rPr>
          <w:szCs w:val="18"/>
        </w:rPr>
        <w:t>Thailand</w:t>
      </w:r>
      <w:r w:rsidRPr="00D05EA4">
        <w:rPr>
          <w:szCs w:val="18"/>
        </w:rPr>
        <w:t>'s mitigation and adaptation goals.</w:t>
      </w:r>
    </w:p>
    <w:p w14:paraId="6C15A38A" w14:textId="77777777" w:rsidR="00611C57" w:rsidRPr="00D05EA4" w:rsidRDefault="00611C57" w:rsidP="00611C57">
      <w:pPr>
        <w:rPr>
          <w:szCs w:val="18"/>
        </w:rPr>
      </w:pPr>
    </w:p>
    <w:p w14:paraId="152FC711" w14:textId="78161B66" w:rsidR="00611C57" w:rsidRPr="00D05EA4" w:rsidRDefault="00611C57" w:rsidP="00611C57">
      <w:pPr>
        <w:rPr>
          <w:szCs w:val="18"/>
        </w:rPr>
      </w:pPr>
      <w:r w:rsidRPr="00D05EA4">
        <w:rPr>
          <w:b/>
          <w:bCs/>
          <w:szCs w:val="18"/>
        </w:rPr>
        <w:t>Objectives:</w:t>
      </w:r>
      <w:r w:rsidRPr="00D05EA4">
        <w:rPr>
          <w:szCs w:val="18"/>
        </w:rPr>
        <w:t xml:space="preserve"> The objectives of the upcoming activity in </w:t>
      </w:r>
      <w:r w:rsidR="009372DB" w:rsidRPr="00D05EA4">
        <w:rPr>
          <w:szCs w:val="18"/>
        </w:rPr>
        <w:t>November 2025</w:t>
      </w:r>
      <w:r w:rsidRPr="00D05EA4">
        <w:rPr>
          <w:szCs w:val="18"/>
        </w:rPr>
        <w:t xml:space="preserve"> are to: (</w:t>
      </w:r>
      <w:proofErr w:type="spellStart"/>
      <w:r w:rsidRPr="00D05EA4">
        <w:rPr>
          <w:szCs w:val="18"/>
        </w:rPr>
        <w:t>i</w:t>
      </w:r>
      <w:proofErr w:type="spellEnd"/>
      <w:r w:rsidRPr="00D05EA4">
        <w:rPr>
          <w:szCs w:val="18"/>
        </w:rPr>
        <w:t xml:space="preserve">) present and discuss with relevant government officials the findings of the policy research, with a focus on how trade and trade policies can support </w:t>
      </w:r>
      <w:r w:rsidR="009372DB" w:rsidRPr="00D05EA4">
        <w:rPr>
          <w:szCs w:val="18"/>
        </w:rPr>
        <w:t>Thailand</w:t>
      </w:r>
      <w:r w:rsidRPr="00D05EA4">
        <w:rPr>
          <w:szCs w:val="18"/>
        </w:rPr>
        <w:t>'s climate goals, including in relation to its mitigation and adaptation targets; (ii) share these findings with relevant stakeholders from the public and private sectors through a Public-Private Workshop; and (iii) discuss with relevant government officials a possible action plan for the analysis' recommendations.</w:t>
      </w:r>
    </w:p>
    <w:p w14:paraId="64F49A3C" w14:textId="77777777" w:rsidR="00611C57" w:rsidRPr="00D05EA4" w:rsidRDefault="00611C57" w:rsidP="00611C57">
      <w:pPr>
        <w:rPr>
          <w:szCs w:val="18"/>
        </w:rPr>
      </w:pPr>
    </w:p>
    <w:p w14:paraId="16CDDF71" w14:textId="77777777" w:rsidR="00611C57" w:rsidRPr="00D05EA4" w:rsidRDefault="00611C57" w:rsidP="00611C57">
      <w:pPr>
        <w:jc w:val="center"/>
        <w:rPr>
          <w:b/>
          <w:bCs/>
          <w:i/>
          <w:iCs/>
          <w:szCs w:val="18"/>
        </w:rPr>
      </w:pPr>
      <w:r w:rsidRPr="00D05EA4">
        <w:rPr>
          <w:b/>
          <w:bCs/>
          <w:i/>
          <w:iCs/>
          <w:szCs w:val="18"/>
        </w:rPr>
        <w:t xml:space="preserve">Tentative Programme </w:t>
      </w:r>
    </w:p>
    <w:p w14:paraId="7301BE40" w14:textId="77777777" w:rsidR="00611C57" w:rsidRPr="00D05EA4" w:rsidRDefault="00611C57" w:rsidP="00611C57">
      <w:pPr>
        <w:rPr>
          <w:szCs w:val="18"/>
        </w:rPr>
      </w:pPr>
    </w:p>
    <w:p w14:paraId="24EC930A" w14:textId="20EC085C" w:rsidR="00611C57" w:rsidRPr="00D05EA4" w:rsidRDefault="00611C57" w:rsidP="00611C57">
      <w:pPr>
        <w:rPr>
          <w:b/>
          <w:bCs/>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05EA4">
        <w:rPr>
          <w:b/>
          <w:bCs/>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Day 1 – Wednesday, 26 November</w:t>
      </w:r>
    </w:p>
    <w:p w14:paraId="22D1AECA" w14:textId="77777777" w:rsidR="00611C57" w:rsidRPr="00D05EA4" w:rsidRDefault="00611C57" w:rsidP="00611C57">
      <w:pPr>
        <w:rPr>
          <w:b/>
          <w:bCs/>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bl>
      <w:tblPr>
        <w:tblStyle w:val="WTOTable1"/>
        <w:tblW w:w="8962" w:type="dxa"/>
        <w:tblLook w:val="04A0" w:firstRow="1" w:lastRow="0" w:firstColumn="1" w:lastColumn="0" w:noHBand="0" w:noVBand="1"/>
      </w:tblPr>
      <w:tblGrid>
        <w:gridCol w:w="568"/>
        <w:gridCol w:w="995"/>
        <w:gridCol w:w="2277"/>
        <w:gridCol w:w="2844"/>
        <w:gridCol w:w="2278"/>
      </w:tblGrid>
      <w:tr w:rsidR="00611C57" w:rsidRPr="00D05EA4" w14:paraId="726CFFC2" w14:textId="77777777">
        <w:trPr>
          <w:cnfStyle w:val="100000000000" w:firstRow="1" w:lastRow="0" w:firstColumn="0" w:lastColumn="0" w:oddVBand="0" w:evenVBand="0" w:oddHBand="0" w:evenHBand="0" w:firstRowFirstColumn="0" w:firstRowLastColumn="0" w:lastRowFirstColumn="0" w:lastRowLastColumn="0"/>
          <w:trHeight w:val="237"/>
        </w:trPr>
        <w:tc>
          <w:tcPr>
            <w:tcW w:w="568" w:type="dxa"/>
          </w:tcPr>
          <w:p w14:paraId="612B5226" w14:textId="77777777" w:rsidR="00611C57" w:rsidRPr="00D05EA4" w:rsidRDefault="00611C57">
            <w:pPr>
              <w:rPr>
                <w:szCs w:val="18"/>
              </w:rPr>
            </w:pPr>
          </w:p>
        </w:tc>
        <w:tc>
          <w:tcPr>
            <w:tcW w:w="995" w:type="dxa"/>
          </w:tcPr>
          <w:p w14:paraId="55FB62AE" w14:textId="77777777" w:rsidR="00611C57" w:rsidRPr="00D05EA4" w:rsidRDefault="00611C57">
            <w:pPr>
              <w:rPr>
                <w:szCs w:val="18"/>
              </w:rPr>
            </w:pPr>
            <w:r w:rsidRPr="00D05EA4">
              <w:rPr>
                <w:szCs w:val="18"/>
              </w:rPr>
              <w:t>Time</w:t>
            </w:r>
          </w:p>
        </w:tc>
        <w:tc>
          <w:tcPr>
            <w:tcW w:w="2277" w:type="dxa"/>
          </w:tcPr>
          <w:p w14:paraId="2805961D" w14:textId="77777777" w:rsidR="00611C57" w:rsidRPr="00D05EA4" w:rsidRDefault="00611C57">
            <w:pPr>
              <w:rPr>
                <w:szCs w:val="18"/>
              </w:rPr>
            </w:pPr>
            <w:r w:rsidRPr="00D05EA4">
              <w:rPr>
                <w:szCs w:val="18"/>
              </w:rPr>
              <w:t>Ministries/Agencies</w:t>
            </w:r>
          </w:p>
        </w:tc>
        <w:tc>
          <w:tcPr>
            <w:tcW w:w="2844" w:type="dxa"/>
          </w:tcPr>
          <w:p w14:paraId="795C9566" w14:textId="77777777" w:rsidR="00611C57" w:rsidRPr="00D05EA4" w:rsidRDefault="00611C57">
            <w:pPr>
              <w:rPr>
                <w:szCs w:val="18"/>
              </w:rPr>
            </w:pPr>
            <w:r w:rsidRPr="00D05EA4">
              <w:rPr>
                <w:szCs w:val="18"/>
              </w:rPr>
              <w:t>Contents</w:t>
            </w:r>
          </w:p>
        </w:tc>
        <w:tc>
          <w:tcPr>
            <w:tcW w:w="2278" w:type="dxa"/>
          </w:tcPr>
          <w:p w14:paraId="6FDC531A" w14:textId="77777777" w:rsidR="00611C57" w:rsidRPr="00D05EA4" w:rsidRDefault="00611C57">
            <w:pPr>
              <w:rPr>
                <w:szCs w:val="18"/>
              </w:rPr>
            </w:pPr>
            <w:r w:rsidRPr="00D05EA4">
              <w:rPr>
                <w:szCs w:val="18"/>
              </w:rPr>
              <w:t>Resource institution</w:t>
            </w:r>
          </w:p>
        </w:tc>
      </w:tr>
      <w:tr w:rsidR="00611C57" w:rsidRPr="00D05EA4" w14:paraId="4EBBD0AC" w14:textId="77777777">
        <w:trPr>
          <w:cnfStyle w:val="000000100000" w:firstRow="0" w:lastRow="0" w:firstColumn="0" w:lastColumn="0" w:oddVBand="0" w:evenVBand="0" w:oddHBand="1" w:evenHBand="0" w:firstRowFirstColumn="0" w:firstRowLastColumn="0" w:lastRowFirstColumn="0" w:lastRowLastColumn="0"/>
          <w:trHeight w:val="1168"/>
        </w:trPr>
        <w:tc>
          <w:tcPr>
            <w:tcW w:w="568" w:type="dxa"/>
          </w:tcPr>
          <w:p w14:paraId="5A9CA44B" w14:textId="77777777" w:rsidR="00611C57" w:rsidRPr="00D05EA4" w:rsidRDefault="00611C57">
            <w:pPr>
              <w:rPr>
                <w:szCs w:val="18"/>
              </w:rPr>
            </w:pPr>
            <w:r w:rsidRPr="00D05EA4">
              <w:rPr>
                <w:szCs w:val="18"/>
              </w:rPr>
              <w:t>1.</w:t>
            </w:r>
          </w:p>
        </w:tc>
        <w:tc>
          <w:tcPr>
            <w:tcW w:w="995" w:type="dxa"/>
          </w:tcPr>
          <w:p w14:paraId="4657C3F6" w14:textId="77777777" w:rsidR="00611C57" w:rsidRPr="00D05EA4" w:rsidRDefault="00611C57">
            <w:pPr>
              <w:rPr>
                <w:szCs w:val="18"/>
              </w:rPr>
            </w:pPr>
            <w:r w:rsidRPr="00D05EA4">
              <w:rPr>
                <w:szCs w:val="18"/>
              </w:rPr>
              <w:t>9:00 – 12:00</w:t>
            </w:r>
          </w:p>
          <w:p w14:paraId="300591BB" w14:textId="77777777" w:rsidR="00611C57" w:rsidRPr="00D05EA4" w:rsidRDefault="00611C57">
            <w:pPr>
              <w:rPr>
                <w:szCs w:val="18"/>
              </w:rPr>
            </w:pPr>
          </w:p>
        </w:tc>
        <w:tc>
          <w:tcPr>
            <w:tcW w:w="2277" w:type="dxa"/>
          </w:tcPr>
          <w:p w14:paraId="60B472D9" w14:textId="59554B07" w:rsidR="00611C57" w:rsidRPr="00D05EA4" w:rsidRDefault="00611C57">
            <w:pPr>
              <w:rPr>
                <w:szCs w:val="18"/>
              </w:rPr>
            </w:pPr>
            <w:r w:rsidRPr="00D05EA4">
              <w:rPr>
                <w:szCs w:val="18"/>
              </w:rPr>
              <w:t>The Trade Policy and Strategy Office of the Ministry of Commerce (TPSO)</w:t>
            </w:r>
          </w:p>
        </w:tc>
        <w:tc>
          <w:tcPr>
            <w:tcW w:w="2844" w:type="dxa"/>
          </w:tcPr>
          <w:p w14:paraId="6A14242A" w14:textId="109A973D" w:rsidR="00611C57" w:rsidRPr="00D05EA4" w:rsidRDefault="00611C57" w:rsidP="00611C57">
            <w:pPr>
              <w:rPr>
                <w:szCs w:val="18"/>
              </w:rPr>
            </w:pPr>
            <w:r w:rsidRPr="00D05EA4">
              <w:rPr>
                <w:szCs w:val="18"/>
              </w:rPr>
              <w:t xml:space="preserve">Presentation and discussion of the ACT analysis with the TPSO, preparation for the public-private workshop </w:t>
            </w:r>
          </w:p>
        </w:tc>
        <w:tc>
          <w:tcPr>
            <w:tcW w:w="2278" w:type="dxa"/>
          </w:tcPr>
          <w:p w14:paraId="21BC4550" w14:textId="37E85D41" w:rsidR="00611C57" w:rsidRPr="00D05EA4" w:rsidRDefault="00611C57">
            <w:pPr>
              <w:rPr>
                <w:szCs w:val="18"/>
              </w:rPr>
            </w:pPr>
            <w:r w:rsidRPr="00D05EA4">
              <w:rPr>
                <w:szCs w:val="18"/>
              </w:rPr>
              <w:t>WTO, WEF</w:t>
            </w:r>
          </w:p>
        </w:tc>
      </w:tr>
      <w:tr w:rsidR="00611C57" w:rsidRPr="00D05EA4" w14:paraId="0C7AADED" w14:textId="77777777">
        <w:trPr>
          <w:cnfStyle w:val="000000010000" w:firstRow="0" w:lastRow="0" w:firstColumn="0" w:lastColumn="0" w:oddVBand="0" w:evenVBand="0" w:oddHBand="0" w:evenHBand="1" w:firstRowFirstColumn="0" w:firstRowLastColumn="0" w:lastRowFirstColumn="0" w:lastRowLastColumn="0"/>
          <w:trHeight w:val="1168"/>
        </w:trPr>
        <w:tc>
          <w:tcPr>
            <w:tcW w:w="568" w:type="dxa"/>
          </w:tcPr>
          <w:p w14:paraId="164142AF" w14:textId="77777777" w:rsidR="00611C57" w:rsidRPr="00D05EA4" w:rsidRDefault="00611C57">
            <w:pPr>
              <w:rPr>
                <w:szCs w:val="18"/>
              </w:rPr>
            </w:pPr>
            <w:r w:rsidRPr="00D05EA4">
              <w:rPr>
                <w:szCs w:val="18"/>
              </w:rPr>
              <w:t>2.</w:t>
            </w:r>
          </w:p>
        </w:tc>
        <w:tc>
          <w:tcPr>
            <w:tcW w:w="995" w:type="dxa"/>
          </w:tcPr>
          <w:p w14:paraId="60A7F223" w14:textId="77777777" w:rsidR="00611C57" w:rsidRPr="00D05EA4" w:rsidRDefault="00611C57">
            <w:pPr>
              <w:rPr>
                <w:szCs w:val="18"/>
              </w:rPr>
            </w:pPr>
            <w:r w:rsidRPr="00D05EA4">
              <w:rPr>
                <w:szCs w:val="18"/>
              </w:rPr>
              <w:t>14:00 – 16:00</w:t>
            </w:r>
          </w:p>
        </w:tc>
        <w:tc>
          <w:tcPr>
            <w:tcW w:w="2277" w:type="dxa"/>
          </w:tcPr>
          <w:p w14:paraId="26011C42" w14:textId="476E3118" w:rsidR="00611C57" w:rsidRPr="00D05EA4" w:rsidRDefault="00611C57">
            <w:pPr>
              <w:rPr>
                <w:szCs w:val="18"/>
              </w:rPr>
            </w:pPr>
            <w:r w:rsidRPr="00D05EA4">
              <w:rPr>
                <w:szCs w:val="18"/>
              </w:rPr>
              <w:t xml:space="preserve">Ministry of Natural Resources and Environment, </w:t>
            </w:r>
            <w:r w:rsidR="009372DB" w:rsidRPr="00D05EA4">
              <w:rPr>
                <w:szCs w:val="18"/>
              </w:rPr>
              <w:t xml:space="preserve">development partners </w:t>
            </w:r>
          </w:p>
        </w:tc>
        <w:tc>
          <w:tcPr>
            <w:tcW w:w="2844" w:type="dxa"/>
          </w:tcPr>
          <w:p w14:paraId="13A5C6E7" w14:textId="07AE93D2" w:rsidR="00611C57" w:rsidRPr="00D05EA4" w:rsidRDefault="009372DB" w:rsidP="00611C57">
            <w:pPr>
              <w:rPr>
                <w:szCs w:val="18"/>
              </w:rPr>
            </w:pPr>
            <w:r w:rsidRPr="00D05EA4">
              <w:rPr>
                <w:szCs w:val="18"/>
              </w:rPr>
              <w:t>Presentation and</w:t>
            </w:r>
            <w:r w:rsidR="00611C57" w:rsidRPr="00D05EA4">
              <w:rPr>
                <w:szCs w:val="18"/>
              </w:rPr>
              <w:t xml:space="preserve"> discuss</w:t>
            </w:r>
            <w:r w:rsidRPr="00D05EA4">
              <w:rPr>
                <w:szCs w:val="18"/>
              </w:rPr>
              <w:t>ion on</w:t>
            </w:r>
            <w:r w:rsidR="00611C57" w:rsidRPr="00D05EA4">
              <w:rPr>
                <w:szCs w:val="18"/>
              </w:rPr>
              <w:t xml:space="preserve"> how the ACT analysis </w:t>
            </w:r>
            <w:r w:rsidRPr="00D05EA4">
              <w:rPr>
                <w:szCs w:val="18"/>
              </w:rPr>
              <w:t xml:space="preserve">insights </w:t>
            </w:r>
            <w:r w:rsidR="00611C57" w:rsidRPr="00D05EA4">
              <w:rPr>
                <w:szCs w:val="18"/>
              </w:rPr>
              <w:t>could be</w:t>
            </w:r>
            <w:r w:rsidRPr="00D05EA4">
              <w:rPr>
                <w:szCs w:val="18"/>
              </w:rPr>
              <w:t xml:space="preserve"> implemented by development partners and integrated into the implementation plan for the Thailand's Updated NDC</w:t>
            </w:r>
          </w:p>
        </w:tc>
        <w:tc>
          <w:tcPr>
            <w:tcW w:w="2278" w:type="dxa"/>
          </w:tcPr>
          <w:p w14:paraId="59CC44DD" w14:textId="5116D404" w:rsidR="00611C57" w:rsidRPr="00D05EA4" w:rsidRDefault="00611C57">
            <w:pPr>
              <w:rPr>
                <w:szCs w:val="18"/>
              </w:rPr>
            </w:pPr>
            <w:r w:rsidRPr="00D05EA4">
              <w:rPr>
                <w:szCs w:val="18"/>
              </w:rPr>
              <w:t>WTO, WEF</w:t>
            </w:r>
          </w:p>
        </w:tc>
      </w:tr>
    </w:tbl>
    <w:p w14:paraId="596F1631" w14:textId="77777777" w:rsidR="00611C57" w:rsidRPr="00D05EA4" w:rsidRDefault="00611C57" w:rsidP="00611C57">
      <w:pPr>
        <w:rPr>
          <w:szCs w:val="18"/>
        </w:rPr>
      </w:pPr>
    </w:p>
    <w:p w14:paraId="15B33F61" w14:textId="3C40DBE6" w:rsidR="00611C57" w:rsidRPr="00D05EA4" w:rsidRDefault="00611C57" w:rsidP="00611C57">
      <w:pPr>
        <w:rPr>
          <w:b/>
          <w:bCs/>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05EA4">
        <w:rPr>
          <w:b/>
          <w:bCs/>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Day 2 – Thursday, 27 November (Public-private workshop)</w:t>
      </w:r>
    </w:p>
    <w:p w14:paraId="18931D18" w14:textId="77777777" w:rsidR="00611C57" w:rsidRPr="00D05EA4" w:rsidRDefault="00611C57" w:rsidP="00611C57">
      <w:pPr>
        <w:rPr>
          <w:b/>
          <w:bCs/>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bl>
      <w:tblPr>
        <w:tblStyle w:val="WTOTable1"/>
        <w:tblW w:w="8925" w:type="dxa"/>
        <w:tblLook w:val="04A0" w:firstRow="1" w:lastRow="0" w:firstColumn="1" w:lastColumn="0" w:noHBand="0" w:noVBand="1"/>
      </w:tblPr>
      <w:tblGrid>
        <w:gridCol w:w="1838"/>
        <w:gridCol w:w="2835"/>
        <w:gridCol w:w="4252"/>
      </w:tblGrid>
      <w:tr w:rsidR="00611C57" w:rsidRPr="00D05EA4" w14:paraId="7496622F" w14:textId="77777777">
        <w:trPr>
          <w:cnfStyle w:val="100000000000" w:firstRow="1" w:lastRow="0" w:firstColumn="0" w:lastColumn="0" w:oddVBand="0" w:evenVBand="0" w:oddHBand="0" w:evenHBand="0" w:firstRowFirstColumn="0" w:firstRowLastColumn="0" w:lastRowFirstColumn="0" w:lastRowLastColumn="0"/>
        </w:trPr>
        <w:tc>
          <w:tcPr>
            <w:tcW w:w="1838" w:type="dxa"/>
            <w:hideMark/>
          </w:tcPr>
          <w:p w14:paraId="5ECFE5AD" w14:textId="77777777" w:rsidR="00611C57" w:rsidRPr="00D05EA4" w:rsidRDefault="00611C57">
            <w:pPr>
              <w:rPr>
                <w:rFonts w:cs="Calibri Light"/>
                <w:kern w:val="2"/>
                <w:szCs w:val="18"/>
                <w14:ligatures w14:val="standardContextual"/>
              </w:rPr>
            </w:pPr>
            <w:r w:rsidRPr="00D05EA4">
              <w:rPr>
                <w:rFonts w:cs="Calibri Light"/>
                <w:kern w:val="2"/>
                <w:szCs w:val="18"/>
                <w14:ligatures w14:val="standardContextual"/>
              </w:rPr>
              <w:t>Time</w:t>
            </w:r>
          </w:p>
        </w:tc>
        <w:tc>
          <w:tcPr>
            <w:tcW w:w="2835" w:type="dxa"/>
            <w:hideMark/>
          </w:tcPr>
          <w:p w14:paraId="68AB1462" w14:textId="77777777" w:rsidR="00611C57" w:rsidRPr="00D05EA4" w:rsidRDefault="00611C57">
            <w:pPr>
              <w:rPr>
                <w:rFonts w:cs="Calibri Light"/>
                <w:kern w:val="2"/>
                <w:szCs w:val="18"/>
                <w14:ligatures w14:val="standardContextual"/>
              </w:rPr>
            </w:pPr>
            <w:r w:rsidRPr="00D05EA4">
              <w:rPr>
                <w:rFonts w:cs="Calibri Light"/>
                <w:kern w:val="2"/>
                <w:szCs w:val="18"/>
                <w14:ligatures w14:val="standardContextual"/>
              </w:rPr>
              <w:t>Activity</w:t>
            </w:r>
          </w:p>
        </w:tc>
        <w:tc>
          <w:tcPr>
            <w:tcW w:w="4252" w:type="dxa"/>
            <w:hideMark/>
          </w:tcPr>
          <w:p w14:paraId="0639DB15" w14:textId="77777777" w:rsidR="00611C57" w:rsidRPr="00D05EA4" w:rsidRDefault="00611C57">
            <w:pPr>
              <w:rPr>
                <w:rFonts w:cs="Calibri Light"/>
                <w:kern w:val="2"/>
                <w:szCs w:val="18"/>
                <w14:ligatures w14:val="standardContextual"/>
              </w:rPr>
            </w:pPr>
            <w:r w:rsidRPr="00D05EA4">
              <w:rPr>
                <w:rFonts w:cs="Calibri Light"/>
                <w:kern w:val="2"/>
                <w:szCs w:val="18"/>
                <w14:ligatures w14:val="standardContextual"/>
              </w:rPr>
              <w:t>Details</w:t>
            </w:r>
          </w:p>
        </w:tc>
      </w:tr>
      <w:tr w:rsidR="00611C57" w:rsidRPr="00D05EA4" w14:paraId="4E861D7B" w14:textId="77777777">
        <w:trPr>
          <w:cnfStyle w:val="000000100000" w:firstRow="0" w:lastRow="0" w:firstColumn="0" w:lastColumn="0" w:oddVBand="0" w:evenVBand="0" w:oddHBand="1" w:evenHBand="0" w:firstRowFirstColumn="0" w:firstRowLastColumn="0" w:lastRowFirstColumn="0" w:lastRowLastColumn="0"/>
        </w:trPr>
        <w:tc>
          <w:tcPr>
            <w:tcW w:w="1838" w:type="dxa"/>
            <w:hideMark/>
          </w:tcPr>
          <w:p w14:paraId="48418FB2" w14:textId="7459E5B1" w:rsidR="00611C57" w:rsidRPr="00D05EA4" w:rsidRDefault="00C2617B">
            <w:pPr>
              <w:rPr>
                <w:rFonts w:cs="Calibri Light"/>
                <w:kern w:val="2"/>
                <w:szCs w:val="18"/>
                <w14:ligatures w14:val="standardContextual"/>
              </w:rPr>
            </w:pPr>
            <w:r w:rsidRPr="00D05EA4">
              <w:rPr>
                <w:rFonts w:cs="Calibri Light"/>
                <w:kern w:val="2"/>
                <w:szCs w:val="18"/>
                <w14:ligatures w14:val="standardContextual"/>
              </w:rPr>
              <w:t>9</w:t>
            </w:r>
            <w:r w:rsidR="00611C57" w:rsidRPr="00D05EA4">
              <w:rPr>
                <w:rFonts w:cs="Calibri Light"/>
                <w:kern w:val="2"/>
                <w:szCs w:val="18"/>
                <w14:ligatures w14:val="standardContextual"/>
              </w:rPr>
              <w:t>:</w:t>
            </w:r>
            <w:r w:rsidRPr="00D05EA4">
              <w:rPr>
                <w:rFonts w:cs="Calibri Light"/>
                <w:kern w:val="2"/>
                <w:szCs w:val="18"/>
                <w14:ligatures w14:val="standardContextual"/>
              </w:rPr>
              <w:t>0</w:t>
            </w:r>
            <w:r w:rsidR="00611C57" w:rsidRPr="00D05EA4">
              <w:rPr>
                <w:rFonts w:cs="Calibri Light"/>
                <w:kern w:val="2"/>
                <w:szCs w:val="18"/>
                <w14:ligatures w14:val="standardContextual"/>
              </w:rPr>
              <w:t>0 – 9:</w:t>
            </w:r>
            <w:r w:rsidRPr="00D05EA4">
              <w:rPr>
                <w:rFonts w:cs="Calibri Light"/>
                <w:kern w:val="2"/>
                <w:szCs w:val="18"/>
                <w14:ligatures w14:val="standardContextual"/>
              </w:rPr>
              <w:t>3</w:t>
            </w:r>
            <w:r w:rsidR="00611C57" w:rsidRPr="00D05EA4">
              <w:rPr>
                <w:rFonts w:cs="Calibri Light"/>
                <w:kern w:val="2"/>
                <w:szCs w:val="18"/>
                <w14:ligatures w14:val="standardContextual"/>
              </w:rPr>
              <w:t xml:space="preserve">0 </w:t>
            </w:r>
          </w:p>
        </w:tc>
        <w:tc>
          <w:tcPr>
            <w:tcW w:w="2835" w:type="dxa"/>
            <w:hideMark/>
          </w:tcPr>
          <w:p w14:paraId="16328BCA" w14:textId="77777777" w:rsidR="00611C57" w:rsidRPr="00D05EA4" w:rsidRDefault="00611C57">
            <w:pPr>
              <w:rPr>
                <w:rFonts w:cs="Calibri Light"/>
                <w:kern w:val="2"/>
                <w:szCs w:val="18"/>
                <w14:ligatures w14:val="standardContextual"/>
              </w:rPr>
            </w:pPr>
            <w:r w:rsidRPr="00D05EA4">
              <w:rPr>
                <w:rFonts w:cs="Calibri Light"/>
                <w:kern w:val="2"/>
                <w:szCs w:val="18"/>
                <w14:ligatures w14:val="standardContextual"/>
              </w:rPr>
              <w:t xml:space="preserve">Registration and coffee </w:t>
            </w:r>
          </w:p>
        </w:tc>
        <w:tc>
          <w:tcPr>
            <w:tcW w:w="4252" w:type="dxa"/>
            <w:hideMark/>
          </w:tcPr>
          <w:p w14:paraId="2C297BFB" w14:textId="77777777" w:rsidR="00611C57" w:rsidRPr="00D05EA4" w:rsidRDefault="00611C57">
            <w:pPr>
              <w:rPr>
                <w:rFonts w:cs="Calibri Light"/>
                <w:kern w:val="2"/>
                <w:szCs w:val="18"/>
                <w14:ligatures w14:val="standardContextual"/>
              </w:rPr>
            </w:pPr>
            <w:r w:rsidRPr="00D05EA4">
              <w:rPr>
                <w:rFonts w:cs="Calibri Light"/>
                <w:kern w:val="2"/>
                <w:szCs w:val="18"/>
                <w14:ligatures w14:val="standardContextual"/>
              </w:rPr>
              <w:t>Participant registration and coffee networking</w:t>
            </w:r>
          </w:p>
        </w:tc>
      </w:tr>
      <w:tr w:rsidR="00611C57" w:rsidRPr="00D05EA4" w14:paraId="5072F299" w14:textId="77777777" w:rsidTr="004977EF">
        <w:trPr>
          <w:cnfStyle w:val="000000010000" w:firstRow="0" w:lastRow="0" w:firstColumn="0" w:lastColumn="0" w:oddVBand="0" w:evenVBand="0" w:oddHBand="0" w:evenHBand="1" w:firstRowFirstColumn="0" w:firstRowLastColumn="0" w:lastRowFirstColumn="0" w:lastRowLastColumn="0"/>
          <w:trHeight w:val="709"/>
        </w:trPr>
        <w:tc>
          <w:tcPr>
            <w:tcW w:w="1838" w:type="dxa"/>
            <w:hideMark/>
          </w:tcPr>
          <w:p w14:paraId="0A25D499" w14:textId="5794CF66" w:rsidR="00611C57" w:rsidRPr="00D05EA4" w:rsidRDefault="00611C57">
            <w:pPr>
              <w:rPr>
                <w:rFonts w:cs="Calibri Light"/>
                <w:kern w:val="2"/>
                <w:szCs w:val="18"/>
                <w14:ligatures w14:val="standardContextual"/>
              </w:rPr>
            </w:pPr>
            <w:r w:rsidRPr="00D05EA4">
              <w:rPr>
                <w:rFonts w:cs="Calibri Light"/>
                <w:kern w:val="2"/>
                <w:szCs w:val="18"/>
                <w14:ligatures w14:val="standardContextual"/>
              </w:rPr>
              <w:t>9:</w:t>
            </w:r>
            <w:r w:rsidR="00C2617B" w:rsidRPr="00D05EA4">
              <w:rPr>
                <w:rFonts w:cs="Calibri Light"/>
                <w:kern w:val="2"/>
                <w:szCs w:val="18"/>
                <w14:ligatures w14:val="standardContextual"/>
              </w:rPr>
              <w:t>3</w:t>
            </w:r>
            <w:r w:rsidRPr="00D05EA4">
              <w:rPr>
                <w:rFonts w:cs="Calibri Light"/>
                <w:kern w:val="2"/>
                <w:szCs w:val="18"/>
                <w14:ligatures w14:val="standardContextual"/>
              </w:rPr>
              <w:t xml:space="preserve">0– </w:t>
            </w:r>
            <w:r w:rsidR="00C2617B" w:rsidRPr="00D05EA4">
              <w:rPr>
                <w:rFonts w:cs="Calibri Light"/>
                <w:kern w:val="2"/>
                <w:szCs w:val="18"/>
                <w14:ligatures w14:val="standardContextual"/>
              </w:rPr>
              <w:t>10</w:t>
            </w:r>
            <w:r w:rsidRPr="00D05EA4">
              <w:rPr>
                <w:rFonts w:cs="Calibri Light"/>
                <w:kern w:val="2"/>
                <w:szCs w:val="18"/>
                <w14:ligatures w14:val="standardContextual"/>
              </w:rPr>
              <w:t>:</w:t>
            </w:r>
            <w:r w:rsidR="00C2617B" w:rsidRPr="00D05EA4">
              <w:rPr>
                <w:rFonts w:cs="Calibri Light"/>
                <w:kern w:val="2"/>
                <w:szCs w:val="18"/>
                <w14:ligatures w14:val="standardContextual"/>
              </w:rPr>
              <w:t>30</w:t>
            </w:r>
          </w:p>
        </w:tc>
        <w:tc>
          <w:tcPr>
            <w:tcW w:w="2835" w:type="dxa"/>
            <w:hideMark/>
          </w:tcPr>
          <w:p w14:paraId="6859AE0C" w14:textId="256ACB32" w:rsidR="00611C57" w:rsidRPr="00D05EA4" w:rsidRDefault="00C2617B">
            <w:pPr>
              <w:rPr>
                <w:rFonts w:cs="Calibri Light"/>
                <w:kern w:val="2"/>
                <w:szCs w:val="18"/>
                <w14:ligatures w14:val="standardContextual"/>
              </w:rPr>
            </w:pPr>
            <w:r w:rsidRPr="00D05EA4">
              <w:rPr>
                <w:rFonts w:cs="Calibri Light"/>
                <w:kern w:val="2"/>
                <w:szCs w:val="18"/>
                <w14:ligatures w14:val="standardContextual"/>
              </w:rPr>
              <w:t>High-level o</w:t>
            </w:r>
            <w:r w:rsidR="00611C57" w:rsidRPr="00D05EA4">
              <w:rPr>
                <w:rFonts w:cs="Calibri Light"/>
                <w:kern w:val="2"/>
                <w:szCs w:val="18"/>
                <w14:ligatures w14:val="standardContextual"/>
              </w:rPr>
              <w:t>pening panel</w:t>
            </w:r>
          </w:p>
          <w:p w14:paraId="5376F29A" w14:textId="77777777" w:rsidR="00611C57" w:rsidRPr="00D05EA4" w:rsidRDefault="00611C57">
            <w:pPr>
              <w:rPr>
                <w:rFonts w:cs="Calibri Light"/>
                <w:kern w:val="2"/>
                <w:szCs w:val="18"/>
                <w14:ligatures w14:val="standardContextual"/>
              </w:rPr>
            </w:pPr>
            <w:r w:rsidRPr="00D05EA4">
              <w:rPr>
                <w:rFonts w:cs="Calibri Light"/>
                <w:kern w:val="2"/>
                <w:szCs w:val="18"/>
                <w14:ligatures w14:val="standardContextual"/>
              </w:rPr>
              <w:br/>
            </w:r>
          </w:p>
        </w:tc>
        <w:tc>
          <w:tcPr>
            <w:tcW w:w="4252" w:type="dxa"/>
          </w:tcPr>
          <w:p w14:paraId="1545DB89" w14:textId="77777777" w:rsidR="00611C57" w:rsidRPr="00D05EA4" w:rsidRDefault="00611C57" w:rsidP="004977EF">
            <w:pPr>
              <w:rPr>
                <w:rFonts w:cs="Calibri Light"/>
                <w:kern w:val="2"/>
                <w:szCs w:val="18"/>
                <w14:ligatures w14:val="standardContextual"/>
              </w:rPr>
            </w:pPr>
            <w:r w:rsidRPr="00D05EA4">
              <w:rPr>
                <w:rFonts w:cs="Calibri Light"/>
                <w:kern w:val="2"/>
                <w:szCs w:val="18"/>
                <w14:ligatures w14:val="standardContextual"/>
              </w:rPr>
              <w:t xml:space="preserve">An opening panel with: </w:t>
            </w:r>
          </w:p>
          <w:p w14:paraId="4884B043" w14:textId="3ED8109C" w:rsidR="004977EF" w:rsidRPr="00D05EA4" w:rsidRDefault="004977EF" w:rsidP="004977EF">
            <w:pPr>
              <w:pStyle w:val="ContactInfo"/>
              <w:numPr>
                <w:ilvl w:val="0"/>
                <w:numId w:val="19"/>
              </w:numPr>
              <w:spacing w:before="0" w:after="0" w:line="240" w:lineRule="auto"/>
              <w:rPr>
                <w:rFonts w:ascii="Verdana" w:hAnsi="Verdana" w:cs="Calibri"/>
                <w:color w:val="auto"/>
                <w:sz w:val="18"/>
                <w:szCs w:val="18"/>
              </w:rPr>
            </w:pPr>
            <w:proofErr w:type="gramStart"/>
            <w:r w:rsidRPr="00D05EA4">
              <w:rPr>
                <w:rFonts w:ascii="Verdana" w:hAnsi="Verdana" w:cs="Calibri"/>
                <w:color w:val="auto"/>
                <w:sz w:val="18"/>
                <w:szCs w:val="18"/>
              </w:rPr>
              <w:t>HE</w:t>
            </w:r>
            <w:proofErr w:type="gramEnd"/>
            <w:r w:rsidRPr="00D05EA4">
              <w:rPr>
                <w:rFonts w:ascii="Verdana" w:hAnsi="Verdana" w:cs="Calibri"/>
                <w:color w:val="auto"/>
                <w:sz w:val="18"/>
                <w:szCs w:val="18"/>
              </w:rPr>
              <w:t xml:space="preserve"> Minister of Commerce, Thailand (opening keynote)</w:t>
            </w:r>
          </w:p>
          <w:p w14:paraId="256AE20B" w14:textId="77777777" w:rsidR="004977EF" w:rsidRPr="00D05EA4" w:rsidRDefault="004977EF" w:rsidP="004977EF">
            <w:pPr>
              <w:pStyle w:val="ContactInfo"/>
              <w:numPr>
                <w:ilvl w:val="0"/>
                <w:numId w:val="19"/>
              </w:numPr>
              <w:spacing w:before="0" w:after="0" w:line="240" w:lineRule="auto"/>
              <w:rPr>
                <w:rFonts w:ascii="Verdana" w:hAnsi="Verdana" w:cs="Calibri"/>
                <w:color w:val="auto"/>
                <w:sz w:val="18"/>
                <w:szCs w:val="18"/>
              </w:rPr>
            </w:pPr>
            <w:r w:rsidRPr="00D05EA4">
              <w:rPr>
                <w:rFonts w:ascii="Verdana" w:hAnsi="Verdana" w:cs="Calibri"/>
                <w:color w:val="auto"/>
                <w:sz w:val="18"/>
                <w:szCs w:val="18"/>
              </w:rPr>
              <w:t>HE Kristiina Kuvaja-Xanthopoulos, Ambassador of Finland to Thailand (closing speaker)</w:t>
            </w:r>
          </w:p>
          <w:p w14:paraId="106E8276" w14:textId="77777777" w:rsidR="004977EF" w:rsidRPr="00D05EA4" w:rsidRDefault="004977EF" w:rsidP="004977EF">
            <w:pPr>
              <w:pStyle w:val="ContactInfo"/>
              <w:numPr>
                <w:ilvl w:val="0"/>
                <w:numId w:val="19"/>
              </w:numPr>
              <w:spacing w:before="0" w:after="0" w:line="240" w:lineRule="auto"/>
              <w:rPr>
                <w:rFonts w:ascii="Verdana" w:hAnsi="Verdana" w:cs="Calibri"/>
                <w:color w:val="auto"/>
                <w:sz w:val="18"/>
                <w:szCs w:val="18"/>
              </w:rPr>
            </w:pPr>
            <w:r w:rsidRPr="00D05EA4">
              <w:rPr>
                <w:rFonts w:ascii="Verdana" w:hAnsi="Verdana" w:cs="Calibri"/>
                <w:color w:val="auto"/>
                <w:sz w:val="18"/>
                <w:szCs w:val="18"/>
                <w:lang w:val="en-GB"/>
              </w:rPr>
              <w:t xml:space="preserve">Mr. </w:t>
            </w:r>
            <w:proofErr w:type="spellStart"/>
            <w:r w:rsidRPr="00D05EA4">
              <w:rPr>
                <w:rFonts w:ascii="Verdana" w:hAnsi="Verdana" w:cs="Calibri"/>
                <w:color w:val="auto"/>
                <w:sz w:val="18"/>
                <w:szCs w:val="18"/>
                <w:lang w:val="en-GB"/>
              </w:rPr>
              <w:t>Peerapong</w:t>
            </w:r>
            <w:proofErr w:type="spellEnd"/>
            <w:r w:rsidRPr="00D05EA4">
              <w:rPr>
                <w:rFonts w:ascii="Verdana" w:hAnsi="Verdana" w:cs="Calibri"/>
                <w:color w:val="auto"/>
                <w:sz w:val="18"/>
                <w:szCs w:val="18"/>
                <w:lang w:val="en-GB"/>
              </w:rPr>
              <w:t xml:space="preserve"> Krinchai, Executive Vice President, CP Food</w:t>
            </w:r>
            <w:r w:rsidRPr="00D05EA4">
              <w:rPr>
                <w:rFonts w:ascii="Verdana" w:hAnsi="Verdana" w:cs="Calibri"/>
                <w:color w:val="auto"/>
                <w:sz w:val="18"/>
                <w:szCs w:val="18"/>
              </w:rPr>
              <w:t xml:space="preserve"> </w:t>
            </w:r>
          </w:p>
          <w:p w14:paraId="7A8FA0C3" w14:textId="77777777" w:rsidR="004977EF" w:rsidRPr="00D05EA4" w:rsidRDefault="004977EF" w:rsidP="004977EF">
            <w:pPr>
              <w:pStyle w:val="ContactInfo"/>
              <w:numPr>
                <w:ilvl w:val="0"/>
                <w:numId w:val="19"/>
              </w:numPr>
              <w:spacing w:before="0" w:after="0" w:line="240" w:lineRule="auto"/>
              <w:rPr>
                <w:rFonts w:ascii="Verdana" w:hAnsi="Verdana" w:cs="Calibri"/>
                <w:color w:val="auto"/>
                <w:sz w:val="18"/>
                <w:szCs w:val="18"/>
              </w:rPr>
            </w:pPr>
            <w:r w:rsidRPr="00D05EA4">
              <w:rPr>
                <w:rFonts w:ascii="Verdana" w:hAnsi="Verdana" w:cs="Calibri"/>
                <w:color w:val="auto"/>
                <w:sz w:val="18"/>
                <w:szCs w:val="18"/>
              </w:rPr>
              <w:t>Mr Anthony Watanabe, Chief Sustainability Officer, Indorama Ventures Public Company Limited</w:t>
            </w:r>
          </w:p>
          <w:p w14:paraId="73174602" w14:textId="77777777" w:rsidR="004977EF" w:rsidRPr="00D05EA4" w:rsidRDefault="004977EF" w:rsidP="004977EF">
            <w:pPr>
              <w:pStyle w:val="ContactInfo"/>
              <w:numPr>
                <w:ilvl w:val="0"/>
                <w:numId w:val="19"/>
              </w:numPr>
              <w:spacing w:before="0" w:after="0" w:line="240" w:lineRule="auto"/>
              <w:rPr>
                <w:rFonts w:ascii="Verdana" w:hAnsi="Verdana" w:cs="Calibri"/>
                <w:color w:val="auto"/>
                <w:sz w:val="18"/>
                <w:szCs w:val="18"/>
              </w:rPr>
            </w:pPr>
            <w:r w:rsidRPr="00D05EA4">
              <w:rPr>
                <w:rFonts w:ascii="Verdana" w:hAnsi="Verdana" w:cs="Calibri"/>
                <w:color w:val="auto"/>
                <w:sz w:val="18"/>
                <w:szCs w:val="18"/>
              </w:rPr>
              <w:t xml:space="preserve">Mr. </w:t>
            </w:r>
            <w:proofErr w:type="spellStart"/>
            <w:r w:rsidRPr="00D05EA4">
              <w:rPr>
                <w:rFonts w:ascii="Verdana" w:hAnsi="Verdana" w:cs="Calibri"/>
                <w:color w:val="auto"/>
                <w:sz w:val="18"/>
                <w:szCs w:val="18"/>
              </w:rPr>
              <w:t>Wijarn</w:t>
            </w:r>
            <w:proofErr w:type="spellEnd"/>
            <w:r w:rsidRPr="00D05EA4">
              <w:rPr>
                <w:rFonts w:ascii="Verdana" w:hAnsi="Verdana" w:cs="Calibri"/>
                <w:color w:val="auto"/>
                <w:sz w:val="18"/>
                <w:szCs w:val="18"/>
              </w:rPr>
              <w:t xml:space="preserve"> Simachaya, President, Thailand Environment Institute </w:t>
            </w:r>
          </w:p>
          <w:p w14:paraId="5EE5AD97" w14:textId="77777777" w:rsidR="004977EF" w:rsidRPr="00D05EA4" w:rsidRDefault="004977EF" w:rsidP="004977EF">
            <w:pPr>
              <w:pStyle w:val="ContactInfo"/>
              <w:numPr>
                <w:ilvl w:val="0"/>
                <w:numId w:val="19"/>
              </w:numPr>
              <w:spacing w:before="0" w:after="0" w:line="240" w:lineRule="auto"/>
              <w:rPr>
                <w:rFonts w:ascii="Verdana" w:hAnsi="Verdana" w:cs="Calibri"/>
                <w:color w:val="auto"/>
                <w:sz w:val="18"/>
                <w:szCs w:val="18"/>
              </w:rPr>
            </w:pPr>
            <w:r w:rsidRPr="00D05EA4">
              <w:rPr>
                <w:rFonts w:ascii="Verdana" w:hAnsi="Verdana" w:cs="Calibri"/>
                <w:color w:val="auto"/>
                <w:sz w:val="18"/>
                <w:szCs w:val="18"/>
              </w:rPr>
              <w:t>Mr. Aik Hoe Lim, Director, Trade and Environment, WTO Secretariat</w:t>
            </w:r>
          </w:p>
          <w:p w14:paraId="31136769" w14:textId="56CAB0E6" w:rsidR="00611C57" w:rsidRPr="00D05EA4" w:rsidRDefault="004977EF" w:rsidP="004977EF">
            <w:pPr>
              <w:pStyle w:val="ContactInfo"/>
              <w:numPr>
                <w:ilvl w:val="0"/>
                <w:numId w:val="19"/>
              </w:numPr>
              <w:spacing w:before="0" w:after="0" w:line="240" w:lineRule="auto"/>
              <w:ind w:left="765" w:hanging="357"/>
              <w:rPr>
                <w:rFonts w:ascii="Verdana" w:hAnsi="Verdana" w:cs="Calibri"/>
                <w:color w:val="auto"/>
                <w:sz w:val="18"/>
                <w:szCs w:val="18"/>
              </w:rPr>
            </w:pPr>
            <w:r w:rsidRPr="00D05EA4">
              <w:rPr>
                <w:rFonts w:ascii="Verdana" w:hAnsi="Verdana" w:cs="Calibri"/>
                <w:color w:val="auto"/>
                <w:sz w:val="18"/>
                <w:szCs w:val="18"/>
              </w:rPr>
              <w:t>Ms. Kimberley Botwright, Deputy Director, Centre for Regions, Trade and Geopolitics, World Economic Forum (moderator)</w:t>
            </w:r>
          </w:p>
        </w:tc>
      </w:tr>
      <w:tr w:rsidR="004977EF" w:rsidRPr="00D05EA4" w14:paraId="43736ED2" w14:textId="77777777">
        <w:trPr>
          <w:cnfStyle w:val="000000100000" w:firstRow="0" w:lastRow="0" w:firstColumn="0" w:lastColumn="0" w:oddVBand="0" w:evenVBand="0" w:oddHBand="1" w:evenHBand="0" w:firstRowFirstColumn="0" w:firstRowLastColumn="0" w:lastRowFirstColumn="0" w:lastRowLastColumn="0"/>
        </w:trPr>
        <w:tc>
          <w:tcPr>
            <w:tcW w:w="1838" w:type="dxa"/>
          </w:tcPr>
          <w:p w14:paraId="36F050DB" w14:textId="2ACD5FE3" w:rsidR="004977EF" w:rsidRPr="00D05EA4" w:rsidRDefault="004977EF" w:rsidP="004977EF">
            <w:pPr>
              <w:rPr>
                <w:rFonts w:cs="Calibri Light"/>
                <w:kern w:val="2"/>
                <w:szCs w:val="18"/>
                <w14:ligatures w14:val="standardContextual"/>
              </w:rPr>
            </w:pPr>
            <w:r w:rsidRPr="00D05EA4">
              <w:rPr>
                <w:rFonts w:cs="Calibri Light"/>
                <w:kern w:val="2"/>
                <w:szCs w:val="18"/>
                <w14:ligatures w14:val="standardContextual"/>
              </w:rPr>
              <w:t>10:30– 10:45</w:t>
            </w:r>
          </w:p>
        </w:tc>
        <w:tc>
          <w:tcPr>
            <w:tcW w:w="2835" w:type="dxa"/>
          </w:tcPr>
          <w:p w14:paraId="3C5ABEEB" w14:textId="42CF6415" w:rsidR="004977EF" w:rsidRPr="00D05EA4" w:rsidRDefault="004977EF" w:rsidP="004977EF">
            <w:pPr>
              <w:rPr>
                <w:rFonts w:cs="Calibri Light"/>
                <w:kern w:val="2"/>
                <w:szCs w:val="18"/>
                <w14:ligatures w14:val="standardContextual"/>
              </w:rPr>
            </w:pPr>
            <w:r w:rsidRPr="00D05EA4">
              <w:rPr>
                <w:rFonts w:cs="Calibri Light"/>
                <w:kern w:val="2"/>
                <w:szCs w:val="18"/>
                <w14:ligatures w14:val="standardContextual"/>
              </w:rPr>
              <w:t>Coffee Break</w:t>
            </w:r>
          </w:p>
        </w:tc>
        <w:tc>
          <w:tcPr>
            <w:tcW w:w="4252" w:type="dxa"/>
          </w:tcPr>
          <w:p w14:paraId="005B23A7" w14:textId="293F3F04" w:rsidR="004977EF" w:rsidRPr="00D05EA4" w:rsidRDefault="004977EF" w:rsidP="004977EF">
            <w:pPr>
              <w:rPr>
                <w:rFonts w:cs="Calibri Light"/>
                <w:kern w:val="2"/>
                <w:szCs w:val="18"/>
                <w14:ligatures w14:val="standardContextual"/>
              </w:rPr>
            </w:pPr>
            <w:r w:rsidRPr="00D05EA4">
              <w:rPr>
                <w:rFonts w:cs="Calibri Light"/>
                <w:kern w:val="2"/>
                <w:szCs w:val="18"/>
                <w14:ligatures w14:val="standardContextual"/>
              </w:rPr>
              <w:t>Networking</w:t>
            </w:r>
          </w:p>
        </w:tc>
      </w:tr>
      <w:tr w:rsidR="004977EF" w:rsidRPr="00D05EA4" w14:paraId="587BF995" w14:textId="77777777">
        <w:trPr>
          <w:cnfStyle w:val="000000010000" w:firstRow="0" w:lastRow="0" w:firstColumn="0" w:lastColumn="0" w:oddVBand="0" w:evenVBand="0" w:oddHBand="0" w:evenHBand="1" w:firstRowFirstColumn="0" w:firstRowLastColumn="0" w:lastRowFirstColumn="0" w:lastRowLastColumn="0"/>
        </w:trPr>
        <w:tc>
          <w:tcPr>
            <w:tcW w:w="1838" w:type="dxa"/>
            <w:hideMark/>
          </w:tcPr>
          <w:p w14:paraId="64D1AE0C" w14:textId="2B660EA3" w:rsidR="004977EF" w:rsidRPr="00D05EA4" w:rsidRDefault="004977EF" w:rsidP="004977EF">
            <w:pPr>
              <w:rPr>
                <w:rFonts w:cs="Calibri Light"/>
                <w:kern w:val="2"/>
                <w:szCs w:val="18"/>
                <w14:ligatures w14:val="standardContextual"/>
              </w:rPr>
            </w:pPr>
            <w:r w:rsidRPr="00D05EA4">
              <w:rPr>
                <w:rFonts w:cs="Calibri Light"/>
                <w:kern w:val="2"/>
                <w:szCs w:val="18"/>
                <w14:ligatures w14:val="standardContextual"/>
              </w:rPr>
              <w:lastRenderedPageBreak/>
              <w:t>10:45 – 13:</w:t>
            </w:r>
            <w:r w:rsidR="00FF6FE4">
              <w:rPr>
                <w:rFonts w:cs="Calibri Light"/>
                <w:kern w:val="2"/>
                <w:szCs w:val="18"/>
                <w14:ligatures w14:val="standardContextual"/>
              </w:rPr>
              <w:t>3</w:t>
            </w:r>
            <w:r w:rsidRPr="00D05EA4">
              <w:rPr>
                <w:rFonts w:cs="Calibri Light"/>
                <w:kern w:val="2"/>
                <w:szCs w:val="18"/>
                <w14:ligatures w14:val="standardContextual"/>
              </w:rPr>
              <w:t>0</w:t>
            </w:r>
          </w:p>
        </w:tc>
        <w:tc>
          <w:tcPr>
            <w:tcW w:w="2835" w:type="dxa"/>
            <w:hideMark/>
          </w:tcPr>
          <w:p w14:paraId="5B0EF3B9" w14:textId="30CA239C" w:rsidR="004977EF" w:rsidRPr="00D05EA4" w:rsidRDefault="004977EF" w:rsidP="004977EF">
            <w:pPr>
              <w:rPr>
                <w:rFonts w:cs="Calibri Light"/>
                <w:kern w:val="2"/>
                <w:szCs w:val="18"/>
                <w14:ligatures w14:val="standardContextual"/>
              </w:rPr>
            </w:pPr>
            <w:r w:rsidRPr="00D05EA4">
              <w:rPr>
                <w:rFonts w:cs="Calibri Light"/>
                <w:kern w:val="2"/>
                <w:szCs w:val="18"/>
                <w14:ligatures w14:val="standardContextual"/>
              </w:rPr>
              <w:t>ACT Presentation and discussion</w:t>
            </w:r>
          </w:p>
        </w:tc>
        <w:tc>
          <w:tcPr>
            <w:tcW w:w="4252" w:type="dxa"/>
            <w:hideMark/>
          </w:tcPr>
          <w:p w14:paraId="09DF6FA4" w14:textId="77777777" w:rsidR="004977EF" w:rsidRPr="00D05EA4" w:rsidRDefault="004977EF" w:rsidP="004977EF">
            <w:pPr>
              <w:rPr>
                <w:rFonts w:cs="Calibri Light"/>
                <w:kern w:val="2"/>
                <w:szCs w:val="18"/>
                <w14:ligatures w14:val="standardContextual"/>
              </w:rPr>
            </w:pPr>
            <w:r w:rsidRPr="00D05EA4">
              <w:rPr>
                <w:rFonts w:cs="Calibri Light"/>
                <w:kern w:val="2"/>
                <w:szCs w:val="18"/>
                <w14:ligatures w14:val="standardContextual"/>
              </w:rPr>
              <w:t xml:space="preserve">The project team (WTO, WEF) will present the results of the analysis on trade policy options for climate mitigation and adaptation in emerging green growth sectors for Thailand. </w:t>
            </w:r>
          </w:p>
          <w:p w14:paraId="67A8F997" w14:textId="045CF598" w:rsidR="004977EF" w:rsidRPr="00D05EA4" w:rsidRDefault="004977EF" w:rsidP="004977EF">
            <w:pPr>
              <w:rPr>
                <w:rFonts w:cs="Calibri Light"/>
                <w:kern w:val="2"/>
                <w:szCs w:val="18"/>
                <w14:ligatures w14:val="standardContextual"/>
              </w:rPr>
            </w:pPr>
            <w:r w:rsidRPr="00D05EA4">
              <w:rPr>
                <w:rFonts w:cs="Calibri Light"/>
                <w:kern w:val="2"/>
                <w:szCs w:val="18"/>
                <w14:ligatures w14:val="standardContextual"/>
              </w:rPr>
              <w:t xml:space="preserve">This will be followed by a wide group discussion. Participants will be organized into parallel breakout groups to discuss trade actions for key sectors in the analysis (agriculture, e-mobility, renewable energy). The discussion will be moderated by the ACT team (WTO, WEF). The breakouts will seek to receive comments from the participants on the analysis and implementation priorities. The workshop will conclude with closing remarks summarizing the key points discussed. </w:t>
            </w:r>
          </w:p>
        </w:tc>
      </w:tr>
      <w:tr w:rsidR="004977EF" w:rsidRPr="00D05EA4" w14:paraId="1680EC36" w14:textId="77777777">
        <w:trPr>
          <w:cnfStyle w:val="000000100000" w:firstRow="0" w:lastRow="0" w:firstColumn="0" w:lastColumn="0" w:oddVBand="0" w:evenVBand="0" w:oddHBand="1" w:evenHBand="0" w:firstRowFirstColumn="0" w:firstRowLastColumn="0" w:lastRowFirstColumn="0" w:lastRowLastColumn="0"/>
        </w:trPr>
        <w:tc>
          <w:tcPr>
            <w:tcW w:w="1838" w:type="dxa"/>
            <w:hideMark/>
          </w:tcPr>
          <w:p w14:paraId="5F318A17" w14:textId="5BF9E682" w:rsidR="004977EF" w:rsidRPr="00D05EA4" w:rsidRDefault="004977EF" w:rsidP="004977EF">
            <w:pPr>
              <w:rPr>
                <w:rFonts w:cs="Calibri Light"/>
                <w:kern w:val="2"/>
                <w:szCs w:val="18"/>
                <w14:ligatures w14:val="standardContextual"/>
              </w:rPr>
            </w:pPr>
            <w:r w:rsidRPr="00D05EA4">
              <w:rPr>
                <w:rFonts w:cs="Calibri Light"/>
                <w:kern w:val="2"/>
                <w:szCs w:val="18"/>
                <w14:ligatures w14:val="standardContextual"/>
              </w:rPr>
              <w:t>13:</w:t>
            </w:r>
            <w:r w:rsidR="00FF6FE4">
              <w:rPr>
                <w:rFonts w:cs="Calibri Light"/>
                <w:kern w:val="2"/>
                <w:szCs w:val="18"/>
                <w14:ligatures w14:val="standardContextual"/>
              </w:rPr>
              <w:t>3</w:t>
            </w:r>
            <w:r w:rsidRPr="00D05EA4">
              <w:rPr>
                <w:rFonts w:cs="Calibri Light"/>
                <w:kern w:val="2"/>
                <w:szCs w:val="18"/>
                <w14:ligatures w14:val="standardContextual"/>
              </w:rPr>
              <w:t xml:space="preserve">0 – 15:00 </w:t>
            </w:r>
          </w:p>
        </w:tc>
        <w:tc>
          <w:tcPr>
            <w:tcW w:w="2835" w:type="dxa"/>
            <w:hideMark/>
          </w:tcPr>
          <w:p w14:paraId="0A8B85A7" w14:textId="7ED8DA11" w:rsidR="004977EF" w:rsidRPr="00D05EA4" w:rsidRDefault="0095551E" w:rsidP="004977EF">
            <w:pPr>
              <w:rPr>
                <w:rFonts w:cs="Calibri Light"/>
                <w:kern w:val="2"/>
                <w:szCs w:val="18"/>
                <w14:ligatures w14:val="standardContextual"/>
              </w:rPr>
            </w:pPr>
            <w:r>
              <w:rPr>
                <w:rFonts w:cs="Calibri Light"/>
                <w:kern w:val="2"/>
                <w:szCs w:val="18"/>
                <w14:ligatures w14:val="standardContextual"/>
              </w:rPr>
              <w:t xml:space="preserve">Working </w:t>
            </w:r>
            <w:r w:rsidR="004977EF" w:rsidRPr="00D05EA4">
              <w:rPr>
                <w:rFonts w:cs="Calibri Light"/>
                <w:kern w:val="2"/>
                <w:szCs w:val="18"/>
                <w14:ligatures w14:val="standardContextual"/>
              </w:rPr>
              <w:t>Lunch</w:t>
            </w:r>
          </w:p>
        </w:tc>
        <w:tc>
          <w:tcPr>
            <w:tcW w:w="4252" w:type="dxa"/>
            <w:hideMark/>
          </w:tcPr>
          <w:p w14:paraId="2593145D" w14:textId="5F8CB083" w:rsidR="004977EF" w:rsidRPr="00D05EA4" w:rsidRDefault="004977EF" w:rsidP="004977EF">
            <w:pPr>
              <w:rPr>
                <w:rFonts w:cs="Calibri Light"/>
                <w:kern w:val="2"/>
                <w:szCs w:val="18"/>
                <w14:ligatures w14:val="standardContextual"/>
              </w:rPr>
            </w:pPr>
            <w:r w:rsidRPr="00D05EA4">
              <w:rPr>
                <w:rFonts w:cs="Calibri Light"/>
                <w:kern w:val="2"/>
                <w:szCs w:val="18"/>
                <w14:ligatures w14:val="standardContextual"/>
              </w:rPr>
              <w:t xml:space="preserve">Informal </w:t>
            </w:r>
            <w:r w:rsidR="0095551E">
              <w:rPr>
                <w:rFonts w:cs="Calibri Light"/>
                <w:kern w:val="2"/>
                <w:szCs w:val="18"/>
                <w14:ligatures w14:val="standardContextual"/>
              </w:rPr>
              <w:t xml:space="preserve">discussions and </w:t>
            </w:r>
            <w:r w:rsidRPr="00D05EA4">
              <w:rPr>
                <w:rFonts w:cs="Calibri Light"/>
                <w:kern w:val="2"/>
                <w:szCs w:val="18"/>
                <w14:ligatures w14:val="standardContextual"/>
              </w:rPr>
              <w:t xml:space="preserve">networking </w:t>
            </w:r>
          </w:p>
        </w:tc>
      </w:tr>
    </w:tbl>
    <w:p w14:paraId="6AF27E79" w14:textId="77777777" w:rsidR="00611C57" w:rsidRPr="00D05EA4" w:rsidRDefault="00611C57" w:rsidP="00611C57">
      <w:pPr>
        <w:rPr>
          <w:b/>
          <w:bCs/>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3EAE443" w14:textId="27432D67" w:rsidR="00611C57" w:rsidRPr="00D05EA4" w:rsidRDefault="00611C57" w:rsidP="00611C57">
      <w:pPr>
        <w:rPr>
          <w:b/>
          <w:bCs/>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05EA4">
        <w:rPr>
          <w:b/>
          <w:bCs/>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Day 3 – Friday, 28 November</w:t>
      </w:r>
    </w:p>
    <w:p w14:paraId="1543C55F" w14:textId="77777777" w:rsidR="00611C57" w:rsidRPr="00D05EA4" w:rsidRDefault="00611C57" w:rsidP="00611C57">
      <w:pPr>
        <w:rPr>
          <w:b/>
          <w:bCs/>
          <w:szCs w:val="18"/>
        </w:rPr>
      </w:pPr>
    </w:p>
    <w:tbl>
      <w:tblPr>
        <w:tblStyle w:val="WTOTable1"/>
        <w:tblW w:w="0" w:type="auto"/>
        <w:tblLook w:val="04A0" w:firstRow="1" w:lastRow="0" w:firstColumn="1" w:lastColumn="0" w:noHBand="0" w:noVBand="1"/>
      </w:tblPr>
      <w:tblGrid>
        <w:gridCol w:w="565"/>
        <w:gridCol w:w="992"/>
        <w:gridCol w:w="2268"/>
        <w:gridCol w:w="2831"/>
        <w:gridCol w:w="2270"/>
      </w:tblGrid>
      <w:tr w:rsidR="00611C57" w:rsidRPr="00D05EA4" w14:paraId="03A5C2D5" w14:textId="77777777">
        <w:trPr>
          <w:cnfStyle w:val="100000000000" w:firstRow="1" w:lastRow="0" w:firstColumn="0" w:lastColumn="0" w:oddVBand="0" w:evenVBand="0" w:oddHBand="0" w:evenHBand="0" w:firstRowFirstColumn="0" w:firstRowLastColumn="0" w:lastRowFirstColumn="0" w:lastRowLastColumn="0"/>
        </w:trPr>
        <w:tc>
          <w:tcPr>
            <w:tcW w:w="565" w:type="dxa"/>
          </w:tcPr>
          <w:p w14:paraId="63F777B2" w14:textId="77777777" w:rsidR="00611C57" w:rsidRPr="00D05EA4" w:rsidRDefault="00611C57">
            <w:pPr>
              <w:rPr>
                <w:szCs w:val="18"/>
              </w:rPr>
            </w:pPr>
          </w:p>
        </w:tc>
        <w:tc>
          <w:tcPr>
            <w:tcW w:w="992" w:type="dxa"/>
          </w:tcPr>
          <w:p w14:paraId="27B7CB9F" w14:textId="77777777" w:rsidR="00611C57" w:rsidRPr="00D05EA4" w:rsidRDefault="00611C57">
            <w:pPr>
              <w:rPr>
                <w:szCs w:val="18"/>
              </w:rPr>
            </w:pPr>
            <w:r w:rsidRPr="00D05EA4">
              <w:rPr>
                <w:szCs w:val="18"/>
              </w:rPr>
              <w:t>Time</w:t>
            </w:r>
          </w:p>
        </w:tc>
        <w:tc>
          <w:tcPr>
            <w:tcW w:w="2268" w:type="dxa"/>
          </w:tcPr>
          <w:p w14:paraId="510B5213" w14:textId="77777777" w:rsidR="00611C57" w:rsidRPr="00D05EA4" w:rsidRDefault="00611C57">
            <w:pPr>
              <w:rPr>
                <w:szCs w:val="18"/>
              </w:rPr>
            </w:pPr>
            <w:r w:rsidRPr="00D05EA4">
              <w:rPr>
                <w:szCs w:val="18"/>
              </w:rPr>
              <w:t>Ministries/Agencies</w:t>
            </w:r>
          </w:p>
        </w:tc>
        <w:tc>
          <w:tcPr>
            <w:tcW w:w="2831" w:type="dxa"/>
          </w:tcPr>
          <w:p w14:paraId="3A588F66" w14:textId="77777777" w:rsidR="00611C57" w:rsidRPr="00D05EA4" w:rsidRDefault="00611C57">
            <w:pPr>
              <w:rPr>
                <w:szCs w:val="18"/>
              </w:rPr>
            </w:pPr>
            <w:r w:rsidRPr="00D05EA4">
              <w:rPr>
                <w:szCs w:val="18"/>
              </w:rPr>
              <w:t>Contents</w:t>
            </w:r>
          </w:p>
        </w:tc>
        <w:tc>
          <w:tcPr>
            <w:tcW w:w="2270" w:type="dxa"/>
          </w:tcPr>
          <w:p w14:paraId="7282167E" w14:textId="77777777" w:rsidR="00611C57" w:rsidRPr="00D05EA4" w:rsidRDefault="00611C57">
            <w:pPr>
              <w:rPr>
                <w:szCs w:val="18"/>
              </w:rPr>
            </w:pPr>
            <w:r w:rsidRPr="00D05EA4">
              <w:rPr>
                <w:szCs w:val="18"/>
              </w:rPr>
              <w:t>Resource institution</w:t>
            </w:r>
          </w:p>
        </w:tc>
      </w:tr>
      <w:tr w:rsidR="00611C57" w:rsidRPr="00D05EA4" w14:paraId="45017023" w14:textId="77777777">
        <w:trPr>
          <w:cnfStyle w:val="000000100000" w:firstRow="0" w:lastRow="0" w:firstColumn="0" w:lastColumn="0" w:oddVBand="0" w:evenVBand="0" w:oddHBand="1" w:evenHBand="0" w:firstRowFirstColumn="0" w:firstRowLastColumn="0" w:lastRowFirstColumn="0" w:lastRowLastColumn="0"/>
        </w:trPr>
        <w:tc>
          <w:tcPr>
            <w:tcW w:w="565" w:type="dxa"/>
          </w:tcPr>
          <w:p w14:paraId="09301DF4" w14:textId="77777777" w:rsidR="00611C57" w:rsidRPr="00D05EA4" w:rsidRDefault="00611C57">
            <w:pPr>
              <w:rPr>
                <w:szCs w:val="18"/>
              </w:rPr>
            </w:pPr>
            <w:r w:rsidRPr="00D05EA4">
              <w:rPr>
                <w:szCs w:val="18"/>
              </w:rPr>
              <w:t>1.</w:t>
            </w:r>
          </w:p>
        </w:tc>
        <w:tc>
          <w:tcPr>
            <w:tcW w:w="992" w:type="dxa"/>
          </w:tcPr>
          <w:p w14:paraId="15F9D270" w14:textId="77777777" w:rsidR="00611C57" w:rsidRPr="00D05EA4" w:rsidRDefault="00611C57">
            <w:pPr>
              <w:rPr>
                <w:szCs w:val="18"/>
              </w:rPr>
            </w:pPr>
            <w:r w:rsidRPr="00D05EA4">
              <w:rPr>
                <w:szCs w:val="18"/>
              </w:rPr>
              <w:t>10:00 – 12:00</w:t>
            </w:r>
          </w:p>
          <w:p w14:paraId="2C0AE064" w14:textId="77777777" w:rsidR="00611C57" w:rsidRPr="00D05EA4" w:rsidRDefault="00611C57">
            <w:pPr>
              <w:rPr>
                <w:szCs w:val="18"/>
              </w:rPr>
            </w:pPr>
          </w:p>
        </w:tc>
        <w:tc>
          <w:tcPr>
            <w:tcW w:w="2268" w:type="dxa"/>
          </w:tcPr>
          <w:p w14:paraId="384F1DAB" w14:textId="6C68BBAA" w:rsidR="00611C57" w:rsidRPr="00D05EA4" w:rsidRDefault="00116455">
            <w:pPr>
              <w:rPr>
                <w:szCs w:val="18"/>
              </w:rPr>
            </w:pPr>
            <w:r>
              <w:rPr>
                <w:szCs w:val="18"/>
              </w:rPr>
              <w:t>Development partners</w:t>
            </w:r>
            <w:r w:rsidR="00D05EA4">
              <w:rPr>
                <w:szCs w:val="18"/>
              </w:rPr>
              <w:t xml:space="preserve"> </w:t>
            </w:r>
          </w:p>
        </w:tc>
        <w:tc>
          <w:tcPr>
            <w:tcW w:w="2831" w:type="dxa"/>
          </w:tcPr>
          <w:p w14:paraId="41767C20" w14:textId="77777777" w:rsidR="00611C57" w:rsidRPr="00D05EA4" w:rsidRDefault="00611C57">
            <w:pPr>
              <w:rPr>
                <w:szCs w:val="18"/>
              </w:rPr>
            </w:pPr>
            <w:r w:rsidRPr="00D05EA4">
              <w:rPr>
                <w:szCs w:val="18"/>
              </w:rPr>
              <w:t>Development partners dialogue on the ACT analysis</w:t>
            </w:r>
          </w:p>
          <w:p w14:paraId="4E31EB95" w14:textId="7F8E5D99" w:rsidR="00CA47D9" w:rsidRPr="00D05EA4" w:rsidRDefault="00CA47D9">
            <w:pPr>
              <w:rPr>
                <w:szCs w:val="18"/>
              </w:rPr>
            </w:pPr>
          </w:p>
        </w:tc>
        <w:tc>
          <w:tcPr>
            <w:tcW w:w="2270" w:type="dxa"/>
          </w:tcPr>
          <w:p w14:paraId="6C279163" w14:textId="77777777" w:rsidR="00611C57" w:rsidRPr="00D05EA4" w:rsidRDefault="00611C57">
            <w:pPr>
              <w:rPr>
                <w:szCs w:val="18"/>
              </w:rPr>
            </w:pPr>
            <w:r w:rsidRPr="00D05EA4">
              <w:rPr>
                <w:szCs w:val="18"/>
              </w:rPr>
              <w:t>WTO, WB, WEF</w:t>
            </w:r>
          </w:p>
        </w:tc>
      </w:tr>
      <w:tr w:rsidR="00611C57" w:rsidRPr="00D05EA4" w14:paraId="24F8CD03" w14:textId="77777777">
        <w:trPr>
          <w:cnfStyle w:val="000000010000" w:firstRow="0" w:lastRow="0" w:firstColumn="0" w:lastColumn="0" w:oddVBand="0" w:evenVBand="0" w:oddHBand="0" w:evenHBand="1" w:firstRowFirstColumn="0" w:firstRowLastColumn="0" w:lastRowFirstColumn="0" w:lastRowLastColumn="0"/>
        </w:trPr>
        <w:tc>
          <w:tcPr>
            <w:tcW w:w="565" w:type="dxa"/>
          </w:tcPr>
          <w:p w14:paraId="6337BB37" w14:textId="77777777" w:rsidR="00611C57" w:rsidRPr="00D05EA4" w:rsidRDefault="00611C57">
            <w:pPr>
              <w:rPr>
                <w:szCs w:val="18"/>
              </w:rPr>
            </w:pPr>
            <w:r w:rsidRPr="00D05EA4">
              <w:rPr>
                <w:szCs w:val="18"/>
              </w:rPr>
              <w:t>2.</w:t>
            </w:r>
          </w:p>
        </w:tc>
        <w:tc>
          <w:tcPr>
            <w:tcW w:w="992" w:type="dxa"/>
          </w:tcPr>
          <w:p w14:paraId="6C161847" w14:textId="4822BF61" w:rsidR="00611C57" w:rsidRPr="00D05EA4" w:rsidRDefault="00611C57">
            <w:pPr>
              <w:rPr>
                <w:szCs w:val="18"/>
              </w:rPr>
            </w:pPr>
            <w:r w:rsidRPr="00D05EA4">
              <w:rPr>
                <w:szCs w:val="18"/>
              </w:rPr>
              <w:t>1</w:t>
            </w:r>
            <w:r w:rsidR="00CA47D9" w:rsidRPr="00D05EA4">
              <w:rPr>
                <w:szCs w:val="18"/>
              </w:rPr>
              <w:t>3</w:t>
            </w:r>
            <w:r w:rsidRPr="00D05EA4">
              <w:rPr>
                <w:szCs w:val="18"/>
              </w:rPr>
              <w:t>:00 – 1</w:t>
            </w:r>
            <w:r w:rsidR="00CA47D9" w:rsidRPr="00D05EA4">
              <w:rPr>
                <w:szCs w:val="18"/>
              </w:rPr>
              <w:t>5</w:t>
            </w:r>
            <w:r w:rsidRPr="00D05EA4">
              <w:rPr>
                <w:szCs w:val="18"/>
              </w:rPr>
              <w:t>:00</w:t>
            </w:r>
          </w:p>
        </w:tc>
        <w:tc>
          <w:tcPr>
            <w:tcW w:w="2268" w:type="dxa"/>
          </w:tcPr>
          <w:p w14:paraId="26AE39D4" w14:textId="6C34A8C1" w:rsidR="00611C57" w:rsidRPr="00D05EA4" w:rsidRDefault="00CA47D9">
            <w:pPr>
              <w:rPr>
                <w:szCs w:val="18"/>
              </w:rPr>
            </w:pPr>
            <w:r w:rsidRPr="00D05EA4">
              <w:rPr>
                <w:szCs w:val="18"/>
              </w:rPr>
              <w:t>TPSO</w:t>
            </w:r>
          </w:p>
        </w:tc>
        <w:tc>
          <w:tcPr>
            <w:tcW w:w="2831" w:type="dxa"/>
          </w:tcPr>
          <w:p w14:paraId="04ED525C" w14:textId="21EE8F15" w:rsidR="00611C57" w:rsidRPr="00D05EA4" w:rsidRDefault="00611C57">
            <w:pPr>
              <w:rPr>
                <w:bCs/>
                <w:szCs w:val="18"/>
              </w:rPr>
            </w:pPr>
            <w:r w:rsidRPr="00D05EA4">
              <w:rPr>
                <w:bCs/>
                <w:szCs w:val="18"/>
              </w:rPr>
              <w:t xml:space="preserve">Closing meeting with the </w:t>
            </w:r>
            <w:r w:rsidR="00CA47D9" w:rsidRPr="00D05EA4">
              <w:rPr>
                <w:bCs/>
                <w:szCs w:val="18"/>
              </w:rPr>
              <w:t>TPSO</w:t>
            </w:r>
            <w:r w:rsidRPr="00D05EA4">
              <w:rPr>
                <w:bCs/>
                <w:szCs w:val="18"/>
              </w:rPr>
              <w:t xml:space="preserve"> – wrap up and discussion of action points </w:t>
            </w:r>
          </w:p>
        </w:tc>
        <w:tc>
          <w:tcPr>
            <w:tcW w:w="2270" w:type="dxa"/>
          </w:tcPr>
          <w:p w14:paraId="1F7D4CD2" w14:textId="1DE2BA6D" w:rsidR="00611C57" w:rsidRPr="00D05EA4" w:rsidRDefault="00611C57">
            <w:pPr>
              <w:rPr>
                <w:szCs w:val="18"/>
              </w:rPr>
            </w:pPr>
            <w:r w:rsidRPr="00D05EA4">
              <w:rPr>
                <w:szCs w:val="18"/>
              </w:rPr>
              <w:t>WTO, WEF</w:t>
            </w:r>
          </w:p>
        </w:tc>
      </w:tr>
    </w:tbl>
    <w:p w14:paraId="77DDB2D2" w14:textId="77777777" w:rsidR="00611C57" w:rsidRPr="00D05EA4" w:rsidRDefault="00611C57" w:rsidP="00611C57">
      <w:pPr>
        <w:jc w:val="center"/>
        <w:rPr>
          <w:rFonts w:eastAsiaTheme="minorHAnsi"/>
          <w:b/>
          <w:szCs w:val="18"/>
          <w:lang w:val="pt-BR" w:eastAsia="en-US"/>
        </w:rPr>
      </w:pPr>
    </w:p>
    <w:p w14:paraId="0F220E1D" w14:textId="77777777" w:rsidR="00611C57" w:rsidRPr="00D05EA4" w:rsidRDefault="00611C57" w:rsidP="00611C57">
      <w:pPr>
        <w:jc w:val="center"/>
        <w:rPr>
          <w:rFonts w:eastAsiaTheme="minorHAnsi"/>
          <w:b/>
          <w:szCs w:val="18"/>
          <w:lang w:val="pt-BR" w:eastAsia="en-US"/>
        </w:rPr>
      </w:pPr>
    </w:p>
    <w:p w14:paraId="288430B3" w14:textId="77777777" w:rsidR="00611C57" w:rsidRPr="00D05EA4" w:rsidRDefault="00611C57" w:rsidP="00611C57">
      <w:pPr>
        <w:jc w:val="center"/>
        <w:rPr>
          <w:rFonts w:eastAsiaTheme="minorHAnsi"/>
          <w:szCs w:val="18"/>
          <w:lang w:val="pt-BR" w:eastAsia="en-US"/>
        </w:rPr>
      </w:pPr>
      <w:r w:rsidRPr="00D05EA4">
        <w:rPr>
          <w:rFonts w:eastAsiaTheme="minorHAnsi"/>
          <w:b/>
          <w:szCs w:val="18"/>
          <w:lang w:val="pt-BR" w:eastAsia="en-US"/>
        </w:rPr>
        <w:t>__________</w:t>
      </w:r>
    </w:p>
    <w:p w14:paraId="724D0569" w14:textId="77777777" w:rsidR="00611C57" w:rsidRPr="00D05EA4" w:rsidRDefault="00611C57" w:rsidP="00611C57">
      <w:pPr>
        <w:rPr>
          <w:szCs w:val="18"/>
        </w:rPr>
      </w:pPr>
    </w:p>
    <w:p w14:paraId="0FD58ACD" w14:textId="77777777" w:rsidR="00611C57" w:rsidRPr="00D05EA4" w:rsidRDefault="00611C57" w:rsidP="00611C57">
      <w:pPr>
        <w:rPr>
          <w:szCs w:val="18"/>
        </w:rPr>
      </w:pPr>
    </w:p>
    <w:p w14:paraId="5378E172" w14:textId="77777777" w:rsidR="00850889" w:rsidRPr="00D05EA4" w:rsidRDefault="00850889" w:rsidP="00182A75">
      <w:pPr>
        <w:rPr>
          <w:szCs w:val="18"/>
        </w:rPr>
      </w:pPr>
    </w:p>
    <w:sectPr w:rsidR="00850889" w:rsidRPr="00D05EA4" w:rsidSect="002A15FB">
      <w:headerReference w:type="default" r:id="rId7"/>
      <w:pgSz w:w="11906" w:h="16838" w:code="9"/>
      <w:pgMar w:top="1701"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68FA0" w14:textId="77777777" w:rsidR="00EA20E1" w:rsidRDefault="00EA20E1" w:rsidP="00ED54E0">
      <w:r>
        <w:separator/>
      </w:r>
    </w:p>
  </w:endnote>
  <w:endnote w:type="continuationSeparator" w:id="0">
    <w:p w14:paraId="69CAD920" w14:textId="77777777" w:rsidR="00EA20E1" w:rsidRDefault="00EA20E1" w:rsidP="00ED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5791A" w14:textId="77777777" w:rsidR="00EA20E1" w:rsidRDefault="00EA20E1" w:rsidP="00ED54E0">
      <w:r>
        <w:separator/>
      </w:r>
    </w:p>
  </w:footnote>
  <w:footnote w:type="continuationSeparator" w:id="0">
    <w:p w14:paraId="28AE1DBF" w14:textId="77777777" w:rsidR="00EA20E1" w:rsidRDefault="00EA20E1" w:rsidP="00ED5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E5FFC" w14:textId="77777777" w:rsidR="00A6787A" w:rsidRDefault="00A67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53FED"/>
    <w:multiLevelType w:val="hybridMultilevel"/>
    <w:tmpl w:val="4722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05A61E3"/>
    <w:multiLevelType w:val="hybridMultilevel"/>
    <w:tmpl w:val="0A3CF82C"/>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13" w15:restartNumberingAfterBreak="0">
    <w:nsid w:val="53E948C5"/>
    <w:multiLevelType w:val="multilevel"/>
    <w:tmpl w:val="30B050F8"/>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color w:val="auto"/>
      </w:rPr>
    </w:lvl>
    <w:lvl w:ilvl="2">
      <w:start w:val="1"/>
      <w:numFmt w:val="bullet"/>
      <w:pStyle w:val="ListBullet3"/>
      <w:lvlText w:val=""/>
      <w:lvlJc w:val="left"/>
      <w:pPr>
        <w:tabs>
          <w:tab w:val="num" w:pos="1701"/>
        </w:tabs>
        <w:ind w:left="1701" w:hanging="567"/>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4" w15:restartNumberingAfterBreak="0">
    <w:nsid w:val="57454AB1"/>
    <w:multiLevelType w:val="multilevel"/>
    <w:tmpl w:val="CC52177C"/>
    <w:numStyleLink w:val="LegalHeadings"/>
  </w:abstractNum>
  <w:abstractNum w:abstractNumId="15" w15:restartNumberingAfterBreak="0">
    <w:nsid w:val="57551E12"/>
    <w:multiLevelType w:val="multilevel"/>
    <w:tmpl w:val="CC52177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1134"/>
        </w:tabs>
        <w:ind w:left="1134" w:hanging="567"/>
      </w:pPr>
      <w:rPr>
        <w:rFonts w:hint="default"/>
      </w:rPr>
    </w:lvl>
    <w:lvl w:ilvl="8">
      <w:start w:val="1"/>
      <w:numFmt w:val="lowerRoman"/>
      <w:pStyle w:val="BodyText3"/>
      <w:lvlText w:val="%9."/>
      <w:lvlJc w:val="left"/>
      <w:pPr>
        <w:tabs>
          <w:tab w:val="num" w:pos="1701"/>
        </w:tabs>
        <w:ind w:left="1701" w:hanging="567"/>
      </w:pPr>
      <w:rPr>
        <w:rFonts w:hint="default"/>
      </w:rPr>
    </w:lvl>
  </w:abstractNum>
  <w:abstractNum w:abstractNumId="16"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07765C4"/>
    <w:multiLevelType w:val="multilevel"/>
    <w:tmpl w:val="AF7806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46051334">
    <w:abstractNumId w:val="9"/>
  </w:num>
  <w:num w:numId="2" w16cid:durableId="1231503998">
    <w:abstractNumId w:val="7"/>
  </w:num>
  <w:num w:numId="3" w16cid:durableId="1967739684">
    <w:abstractNumId w:val="6"/>
  </w:num>
  <w:num w:numId="4" w16cid:durableId="72168637">
    <w:abstractNumId w:val="5"/>
  </w:num>
  <w:num w:numId="5" w16cid:durableId="340086167">
    <w:abstractNumId w:val="4"/>
  </w:num>
  <w:num w:numId="6" w16cid:durableId="1182205225">
    <w:abstractNumId w:val="15"/>
  </w:num>
  <w:num w:numId="7" w16cid:durableId="1295865260">
    <w:abstractNumId w:val="14"/>
  </w:num>
  <w:num w:numId="8" w16cid:durableId="805586851">
    <w:abstractNumId w:val="13"/>
  </w:num>
  <w:num w:numId="9" w16cid:durableId="13895759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4542413">
    <w:abstractNumId w:val="16"/>
  </w:num>
  <w:num w:numId="11" w16cid:durableId="11810538">
    <w:abstractNumId w:val="8"/>
  </w:num>
  <w:num w:numId="12" w16cid:durableId="238757986">
    <w:abstractNumId w:val="3"/>
  </w:num>
  <w:num w:numId="13" w16cid:durableId="1398743854">
    <w:abstractNumId w:val="2"/>
  </w:num>
  <w:num w:numId="14" w16cid:durableId="1204097025">
    <w:abstractNumId w:val="1"/>
  </w:num>
  <w:num w:numId="15" w16cid:durableId="270822767">
    <w:abstractNumId w:val="0"/>
  </w:num>
  <w:num w:numId="16" w16cid:durableId="1790397538">
    <w:abstractNumId w:val="10"/>
  </w:num>
  <w:num w:numId="17" w16cid:durableId="984817311">
    <w:abstractNumId w:val="13"/>
  </w:num>
  <w:num w:numId="18" w16cid:durableId="10776746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454955">
    <w:abstractNumId w:val="12"/>
  </w:num>
  <w:num w:numId="20" w16cid:durableId="711251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57"/>
    <w:rsid w:val="000106E0"/>
    <w:rsid w:val="000111BB"/>
    <w:rsid w:val="00022C0F"/>
    <w:rsid w:val="000272F6"/>
    <w:rsid w:val="00037288"/>
    <w:rsid w:val="00037AC4"/>
    <w:rsid w:val="000423BF"/>
    <w:rsid w:val="0005117F"/>
    <w:rsid w:val="0006168A"/>
    <w:rsid w:val="000A4945"/>
    <w:rsid w:val="000B31E1"/>
    <w:rsid w:val="000C480F"/>
    <w:rsid w:val="0011356B"/>
    <w:rsid w:val="00116455"/>
    <w:rsid w:val="0013337F"/>
    <w:rsid w:val="00182A75"/>
    <w:rsid w:val="00182B84"/>
    <w:rsid w:val="001946F2"/>
    <w:rsid w:val="001D0F5C"/>
    <w:rsid w:val="001E291F"/>
    <w:rsid w:val="00220500"/>
    <w:rsid w:val="00233408"/>
    <w:rsid w:val="00237417"/>
    <w:rsid w:val="002511AA"/>
    <w:rsid w:val="0027067B"/>
    <w:rsid w:val="002A15FB"/>
    <w:rsid w:val="002A6940"/>
    <w:rsid w:val="002B5DA2"/>
    <w:rsid w:val="002E249B"/>
    <w:rsid w:val="00304385"/>
    <w:rsid w:val="00311BE2"/>
    <w:rsid w:val="00320249"/>
    <w:rsid w:val="003572B4"/>
    <w:rsid w:val="003616BF"/>
    <w:rsid w:val="00371F2B"/>
    <w:rsid w:val="00383F10"/>
    <w:rsid w:val="004243DF"/>
    <w:rsid w:val="004551EC"/>
    <w:rsid w:val="00467032"/>
    <w:rsid w:val="0046754A"/>
    <w:rsid w:val="004977EF"/>
    <w:rsid w:val="004A299C"/>
    <w:rsid w:val="004A31FF"/>
    <w:rsid w:val="004F203A"/>
    <w:rsid w:val="00512FF5"/>
    <w:rsid w:val="005336B8"/>
    <w:rsid w:val="005917B1"/>
    <w:rsid w:val="005B04B9"/>
    <w:rsid w:val="005B68C7"/>
    <w:rsid w:val="005B7054"/>
    <w:rsid w:val="005D0152"/>
    <w:rsid w:val="005D5981"/>
    <w:rsid w:val="005F30CB"/>
    <w:rsid w:val="00611C57"/>
    <w:rsid w:val="00612644"/>
    <w:rsid w:val="00674CCD"/>
    <w:rsid w:val="006877F3"/>
    <w:rsid w:val="006A18DC"/>
    <w:rsid w:val="006D6742"/>
    <w:rsid w:val="006E3654"/>
    <w:rsid w:val="006F5826"/>
    <w:rsid w:val="00700181"/>
    <w:rsid w:val="007141CF"/>
    <w:rsid w:val="00745146"/>
    <w:rsid w:val="0074635B"/>
    <w:rsid w:val="007577E3"/>
    <w:rsid w:val="00760DB3"/>
    <w:rsid w:val="00767204"/>
    <w:rsid w:val="0079332A"/>
    <w:rsid w:val="007C3936"/>
    <w:rsid w:val="007C79F0"/>
    <w:rsid w:val="007E168B"/>
    <w:rsid w:val="007E6507"/>
    <w:rsid w:val="007F2B8E"/>
    <w:rsid w:val="007F2DB0"/>
    <w:rsid w:val="00801CBB"/>
    <w:rsid w:val="00807247"/>
    <w:rsid w:val="00840C2B"/>
    <w:rsid w:val="00850889"/>
    <w:rsid w:val="008739FD"/>
    <w:rsid w:val="008A7BB6"/>
    <w:rsid w:val="008C42C8"/>
    <w:rsid w:val="008E372C"/>
    <w:rsid w:val="00920FD4"/>
    <w:rsid w:val="0093194B"/>
    <w:rsid w:val="009372DB"/>
    <w:rsid w:val="00947C09"/>
    <w:rsid w:val="0095551E"/>
    <w:rsid w:val="009A6F54"/>
    <w:rsid w:val="009A7E67"/>
    <w:rsid w:val="009B0823"/>
    <w:rsid w:val="009F54B2"/>
    <w:rsid w:val="00A53DCE"/>
    <w:rsid w:val="00A6057A"/>
    <w:rsid w:val="00A63124"/>
    <w:rsid w:val="00A6787A"/>
    <w:rsid w:val="00A74017"/>
    <w:rsid w:val="00A97A1E"/>
    <w:rsid w:val="00AA332C"/>
    <w:rsid w:val="00AC24C7"/>
    <w:rsid w:val="00AC27F8"/>
    <w:rsid w:val="00AD4C72"/>
    <w:rsid w:val="00AE20ED"/>
    <w:rsid w:val="00AE2AEE"/>
    <w:rsid w:val="00B1394B"/>
    <w:rsid w:val="00B230EC"/>
    <w:rsid w:val="00B415B8"/>
    <w:rsid w:val="00B50DC4"/>
    <w:rsid w:val="00B54341"/>
    <w:rsid w:val="00B56EDC"/>
    <w:rsid w:val="00B67C16"/>
    <w:rsid w:val="00BB1F84"/>
    <w:rsid w:val="00BE5468"/>
    <w:rsid w:val="00C11EAC"/>
    <w:rsid w:val="00C2617B"/>
    <w:rsid w:val="00C305D7"/>
    <w:rsid w:val="00C30F2A"/>
    <w:rsid w:val="00C43456"/>
    <w:rsid w:val="00C65C0C"/>
    <w:rsid w:val="00C808FC"/>
    <w:rsid w:val="00CA47D9"/>
    <w:rsid w:val="00CC5DCA"/>
    <w:rsid w:val="00CD7D97"/>
    <w:rsid w:val="00CE3EE6"/>
    <w:rsid w:val="00CE4BA1"/>
    <w:rsid w:val="00CF11AF"/>
    <w:rsid w:val="00D000C7"/>
    <w:rsid w:val="00D053CC"/>
    <w:rsid w:val="00D05EA4"/>
    <w:rsid w:val="00D52A9D"/>
    <w:rsid w:val="00D55AAD"/>
    <w:rsid w:val="00D747AE"/>
    <w:rsid w:val="00D9226C"/>
    <w:rsid w:val="00DA20BD"/>
    <w:rsid w:val="00DE50DB"/>
    <w:rsid w:val="00DF6AE1"/>
    <w:rsid w:val="00E46FD5"/>
    <w:rsid w:val="00E544BB"/>
    <w:rsid w:val="00E56545"/>
    <w:rsid w:val="00E85004"/>
    <w:rsid w:val="00EA20E1"/>
    <w:rsid w:val="00EA5D4F"/>
    <w:rsid w:val="00EB6C56"/>
    <w:rsid w:val="00EB6F21"/>
    <w:rsid w:val="00ED54E0"/>
    <w:rsid w:val="00F01C13"/>
    <w:rsid w:val="00F25738"/>
    <w:rsid w:val="00F32397"/>
    <w:rsid w:val="00F40595"/>
    <w:rsid w:val="00FA5EBC"/>
    <w:rsid w:val="00FB5BFE"/>
    <w:rsid w:val="00FD224A"/>
    <w:rsid w:val="00FD6CF3"/>
    <w:rsid w:val="00FD79BF"/>
    <w:rsid w:val="00FF4616"/>
    <w:rsid w:val="00FF4BA8"/>
    <w:rsid w:val="00FF6FE4"/>
    <w:rsid w:val="00FF7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B2FBB"/>
  <w15:chartTrackingRefBased/>
  <w15:docId w15:val="{341044A9-5BD2-4C39-A370-5AE3D101F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C57"/>
    <w:pPr>
      <w:spacing w:after="0" w:line="240" w:lineRule="auto"/>
      <w:jc w:val="both"/>
    </w:pPr>
    <w:rPr>
      <w:rFonts w:ascii="Verdana" w:eastAsiaTheme="minorEastAsia" w:hAnsi="Verdana"/>
      <w:kern w:val="0"/>
      <w:sz w:val="18"/>
      <w:lang w:eastAsia="zh-CN"/>
      <w14:ligatures w14:val="none"/>
    </w:rPr>
  </w:style>
  <w:style w:type="paragraph" w:styleId="Heading1">
    <w:name w:val="heading 1"/>
    <w:basedOn w:val="Normal"/>
    <w:next w:val="Heading2"/>
    <w:link w:val="Heading1Char"/>
    <w:uiPriority w:val="2"/>
    <w:qFormat/>
    <w:rsid w:val="00022C0F"/>
    <w:pPr>
      <w:keepNext/>
      <w:keepLines/>
      <w:numPr>
        <w:numId w:val="6"/>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022C0F"/>
    <w:pPr>
      <w:keepNext/>
      <w:keepLines/>
      <w:numPr>
        <w:ilvl w:val="1"/>
        <w:numId w:val="6"/>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022C0F"/>
    <w:pPr>
      <w:keepNext/>
      <w:keepLines/>
      <w:numPr>
        <w:ilvl w:val="2"/>
        <w:numId w:val="6"/>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022C0F"/>
    <w:pPr>
      <w:keepNext/>
      <w:keepLines/>
      <w:numPr>
        <w:ilvl w:val="3"/>
        <w:numId w:val="6"/>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022C0F"/>
    <w:pPr>
      <w:keepNext/>
      <w:keepLines/>
      <w:numPr>
        <w:ilvl w:val="4"/>
        <w:numId w:val="6"/>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022C0F"/>
    <w:pPr>
      <w:keepNext/>
      <w:keepLines/>
      <w:numPr>
        <w:ilvl w:val="5"/>
        <w:numId w:val="6"/>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022C0F"/>
    <w:pPr>
      <w:numPr>
        <w:ilvl w:val="6"/>
        <w:numId w:val="6"/>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6A18DC"/>
    <w:pPr>
      <w:numPr>
        <w:ilvl w:val="7"/>
        <w:numId w:val="6"/>
      </w:numPr>
      <w:tabs>
        <w:tab w:val="left" w:pos="1134"/>
      </w:tabs>
      <w:spacing w:after="240"/>
    </w:pPr>
  </w:style>
  <w:style w:type="character" w:customStyle="1" w:styleId="BodyText2Char">
    <w:name w:val="Body Text 2 Char"/>
    <w:basedOn w:val="DefaultParagraphFont"/>
    <w:link w:val="BodyText2"/>
    <w:uiPriority w:val="1"/>
    <w:rsid w:val="006A18DC"/>
    <w:rPr>
      <w:rFonts w:ascii="Verdana" w:hAnsi="Verdana"/>
      <w:sz w:val="18"/>
    </w:rPr>
  </w:style>
  <w:style w:type="paragraph" w:styleId="BodyText3">
    <w:name w:val="Body Text 3"/>
    <w:basedOn w:val="Normal"/>
    <w:link w:val="BodyText3Char"/>
    <w:uiPriority w:val="1"/>
    <w:qFormat/>
    <w:rsid w:val="00022C0F"/>
    <w:pPr>
      <w:numPr>
        <w:ilvl w:val="8"/>
        <w:numId w:val="6"/>
      </w:numPr>
      <w:spacing w:after="240"/>
    </w:pPr>
    <w:rPr>
      <w:szCs w:val="16"/>
    </w:rPr>
  </w:style>
  <w:style w:type="character" w:customStyle="1" w:styleId="BodyText3Char">
    <w:name w:val="Body Text 3 Char"/>
    <w:basedOn w:val="DefaultParagraphFont"/>
    <w:link w:val="BodyText3"/>
    <w:uiPriority w:val="1"/>
    <w:rsid w:val="00801CBB"/>
    <w:rPr>
      <w:rFonts w:ascii="Verdana" w:hAnsi="Verdana"/>
      <w:sz w:val="18"/>
      <w:szCs w:val="16"/>
    </w:rPr>
  </w:style>
  <w:style w:type="numbering" w:customStyle="1" w:styleId="LegalHeadings">
    <w:name w:val="LegalHeadings"/>
    <w:uiPriority w:val="99"/>
    <w:rsid w:val="00022C0F"/>
    <w:pPr>
      <w:numPr>
        <w:numId w:val="6"/>
      </w:numPr>
    </w:pPr>
  </w:style>
  <w:style w:type="paragraph" w:styleId="ListBullet">
    <w:name w:val="List Bullet"/>
    <w:basedOn w:val="Normal"/>
    <w:uiPriority w:val="1"/>
    <w:rsid w:val="007F2DB0"/>
    <w:pPr>
      <w:numPr>
        <w:numId w:val="17"/>
      </w:numPr>
      <w:spacing w:after="240"/>
    </w:pPr>
  </w:style>
  <w:style w:type="paragraph" w:styleId="ListBullet2">
    <w:name w:val="List Bullet 2"/>
    <w:basedOn w:val="Normal"/>
    <w:uiPriority w:val="1"/>
    <w:rsid w:val="007F2DB0"/>
    <w:pPr>
      <w:numPr>
        <w:ilvl w:val="1"/>
        <w:numId w:val="17"/>
      </w:numPr>
      <w:tabs>
        <w:tab w:val="left" w:pos="1134"/>
      </w:tabs>
      <w:spacing w:after="240"/>
    </w:pPr>
  </w:style>
  <w:style w:type="paragraph" w:styleId="ListBullet3">
    <w:name w:val="List Bullet 3"/>
    <w:basedOn w:val="Normal"/>
    <w:uiPriority w:val="1"/>
    <w:qFormat/>
    <w:rsid w:val="007F2DB0"/>
    <w:pPr>
      <w:numPr>
        <w:ilvl w:val="2"/>
        <w:numId w:val="17"/>
      </w:numPr>
      <w:tabs>
        <w:tab w:val="left" w:pos="1701"/>
      </w:tabs>
      <w:spacing w:after="240"/>
    </w:pPr>
  </w:style>
  <w:style w:type="paragraph" w:styleId="ListBullet4">
    <w:name w:val="List Bullet 4"/>
    <w:basedOn w:val="Normal"/>
    <w:uiPriority w:val="1"/>
    <w:rsid w:val="007F2DB0"/>
    <w:pPr>
      <w:numPr>
        <w:ilvl w:val="3"/>
        <w:numId w:val="17"/>
      </w:numPr>
      <w:spacing w:after="240"/>
    </w:pPr>
  </w:style>
  <w:style w:type="paragraph" w:styleId="ListBullet5">
    <w:name w:val="List Bullet 5"/>
    <w:basedOn w:val="Normal"/>
    <w:uiPriority w:val="1"/>
    <w:rsid w:val="007F2DB0"/>
    <w:pPr>
      <w:numPr>
        <w:ilvl w:val="4"/>
        <w:numId w:val="17"/>
      </w:numPr>
      <w:spacing w:after="240"/>
    </w:pPr>
  </w:style>
  <w:style w:type="numbering" w:customStyle="1" w:styleId="ListBullets">
    <w:name w:val="ListBullets"/>
    <w:uiPriority w:val="99"/>
    <w:rsid w:val="007F2DB0"/>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AC24C7"/>
    <w:pPr>
      <w:tabs>
        <w:tab w:val="right" w:leader="dot" w:pos="9027"/>
      </w:tabs>
      <w:spacing w:before="120" w:after="120"/>
      <w:jc w:val="left"/>
    </w:pPr>
    <w:rPr>
      <w:rFonts w:eastAsia="Calibri" w:cs="Times New Roman"/>
      <w:b/>
      <w:caps/>
      <w:szCs w:val="18"/>
      <w:lang w:eastAsia="en-GB"/>
    </w:rPr>
  </w:style>
  <w:style w:type="paragraph" w:styleId="TOC2">
    <w:name w:val="toc 2"/>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3">
    <w:name w:val="toc 3"/>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4">
    <w:name w:val="toc 4"/>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5">
    <w:name w:val="toc 5"/>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6">
    <w:name w:val="toc 6"/>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7">
    <w:name w:val="toc 7"/>
    <w:basedOn w:val="Normal"/>
    <w:next w:val="Normal"/>
    <w:autoRedefine/>
    <w:uiPriority w:val="39"/>
    <w:rsid w:val="00AC24C7"/>
    <w:pPr>
      <w:tabs>
        <w:tab w:val="left" w:pos="851"/>
        <w:tab w:val="right" w:leader="dot" w:pos="9027"/>
      </w:tabs>
      <w:spacing w:before="120" w:after="120"/>
      <w:ind w:left="567"/>
      <w:jc w:val="left"/>
    </w:pPr>
    <w:rPr>
      <w:rFonts w:eastAsia="Calibri" w:cs="Times New Roman"/>
      <w:szCs w:val="18"/>
      <w:lang w:eastAsia="en-GB"/>
    </w:rPr>
  </w:style>
  <w:style w:type="paragraph" w:styleId="TOC8">
    <w:name w:val="toc 8"/>
    <w:basedOn w:val="Normal"/>
    <w:next w:val="Normal"/>
    <w:autoRedefine/>
    <w:uiPriority w:val="39"/>
    <w:rsid w:val="005D0152"/>
    <w:pPr>
      <w:tabs>
        <w:tab w:val="left" w:pos="851"/>
        <w:tab w:val="left" w:pos="1134"/>
        <w:tab w:val="right" w:leader="dot" w:pos="9027"/>
      </w:tabs>
      <w:spacing w:before="120" w:after="120"/>
      <w:ind w:left="851"/>
      <w:jc w:val="left"/>
    </w:pPr>
    <w:rPr>
      <w:rFonts w:eastAsia="Calibri" w:cs="Times New Roman"/>
      <w:szCs w:val="18"/>
      <w:lang w:eastAsia="en-GB"/>
    </w:rPr>
  </w:style>
  <w:style w:type="paragraph" w:styleId="TOC9">
    <w:name w:val="toc 9"/>
    <w:basedOn w:val="Normal"/>
    <w:next w:val="Normal"/>
    <w:autoRedefine/>
    <w:uiPriority w:val="39"/>
    <w:rsid w:val="005D0152"/>
    <w:pPr>
      <w:tabs>
        <w:tab w:val="left" w:pos="851"/>
        <w:tab w:val="left" w:pos="1134"/>
        <w:tab w:val="left" w:pos="1418"/>
        <w:tab w:val="right" w:leader="dot" w:pos="9027"/>
      </w:tabs>
      <w:spacing w:before="120" w:after="120"/>
      <w:ind w:left="1134"/>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B415B8"/>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B415B8"/>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01C13"/>
    <w:pPr>
      <w:spacing w:after="240"/>
      <w:jc w:val="center"/>
    </w:pPr>
    <w:rPr>
      <w:rFonts w:eastAsia="Calibri" w:cs="Times New Roman"/>
      <w:color w:val="006283"/>
    </w:rPr>
  </w:style>
  <w:style w:type="paragraph" w:customStyle="1" w:styleId="Query">
    <w:name w:val="Query"/>
    <w:qFormat/>
    <w:rsid w:val="00A6787A"/>
    <w:pPr>
      <w:numPr>
        <w:numId w:val="18"/>
      </w:numPr>
      <w:spacing w:before="240"/>
      <w:jc w:val="both"/>
    </w:pPr>
    <w:rPr>
      <w:rFonts w:ascii="Verdana" w:hAnsi="Verdana"/>
      <w:sz w:val="18"/>
      <w:u w:val="single"/>
    </w:rPr>
  </w:style>
  <w:style w:type="paragraph" w:customStyle="1" w:styleId="NoteTextSource">
    <w:name w:val="Note Text Source"/>
    <w:basedOn w:val="Normal"/>
    <w:uiPriority w:val="4"/>
    <w:qFormat/>
    <w:rsid w:val="0079332A"/>
    <w:pPr>
      <w:spacing w:before="120" w:after="240"/>
      <w:ind w:left="851" w:hanging="851"/>
      <w:jc w:val="left"/>
    </w:pPr>
    <w:rPr>
      <w:sz w:val="16"/>
    </w:rPr>
  </w:style>
  <w:style w:type="paragraph" w:customStyle="1" w:styleId="ContactInfo">
    <w:name w:val="Contact Info"/>
    <w:basedOn w:val="Normal"/>
    <w:uiPriority w:val="2"/>
    <w:qFormat/>
    <w:rsid w:val="004977EF"/>
    <w:pPr>
      <w:spacing w:before="360" w:after="360" w:line="288" w:lineRule="auto"/>
      <w:contextualSpacing/>
      <w:jc w:val="left"/>
    </w:pPr>
    <w:rPr>
      <w:rFonts w:asciiTheme="minorHAnsi" w:hAnsiTheme="minorHAnsi"/>
      <w:color w:val="595959" w:themeColor="text1" w:themeTint="A6"/>
      <w:sz w:val="22"/>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Koltunova, Anastasiia</dc:creator>
  <cp:keywords/>
  <dc:description/>
  <cp:lastModifiedBy>Viiri, Katariina</cp:lastModifiedBy>
  <cp:revision>2</cp:revision>
  <dcterms:created xsi:type="dcterms:W3CDTF">2025-11-13T14:57:00Z</dcterms:created>
  <dcterms:modified xsi:type="dcterms:W3CDTF">2025-11-13T14:57:00Z</dcterms:modified>
</cp:coreProperties>
</file>