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WTOBox1"/>
        <w:tblW w:w="5000" w:type="pct"/>
        <w:shd w:val="clear" w:color="auto" w:fill="365F91" w:themeFill="accent1" w:themeFillShade="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0"/>
      </w:tblGrid>
      <w:tr w:rsidR="0009306E" w:rsidRPr="005C3929" w14:paraId="554E792B" w14:textId="77777777" w:rsidTr="005C3929">
        <w:trPr>
          <w:cantSplit/>
        </w:trPr>
        <w:tc>
          <w:tcPr>
            <w:tcW w:w="13858" w:type="dxa"/>
            <w:shd w:val="clear" w:color="auto" w:fill="365F91" w:themeFill="accent1" w:themeFillShade="BF"/>
          </w:tcPr>
          <w:p w14:paraId="6F318CAC" w14:textId="1AE27889" w:rsidR="009030FF" w:rsidRPr="005C3929" w:rsidRDefault="002F3A99" w:rsidP="005C3929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 w:themeColor="background1"/>
                <w:sz w:val="28"/>
              </w:rPr>
              <w:t>CURSO DE FORMACIÓN DE LA OMC SOBRE COMERCIO E IGUALDAD DE GÉNERO – NIVEL 1</w:t>
            </w:r>
          </w:p>
          <w:p w14:paraId="2125E4BD" w14:textId="77777777" w:rsidR="005C3929" w:rsidRPr="005C3929" w:rsidRDefault="002F3A99" w:rsidP="005C3929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 w:themeColor="background1"/>
                <w:sz w:val="28"/>
              </w:rPr>
              <w:t>PROGRAMA</w:t>
            </w:r>
          </w:p>
          <w:p w14:paraId="4B9AD078" w14:textId="5C9EAA90" w:rsidR="009030FF" w:rsidRPr="005C3929" w:rsidRDefault="009030FF" w:rsidP="005C3929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/>
                <w:i/>
                <w:color w:val="FFFFFF" w:themeColor="background1"/>
                <w:sz w:val="28"/>
              </w:rPr>
              <w:t>Idioma: español</w:t>
            </w:r>
          </w:p>
          <w:p w14:paraId="4D9E8483" w14:textId="67EB6B76" w:rsidR="0009306E" w:rsidRPr="005C3929" w:rsidRDefault="009030FF" w:rsidP="005C3929">
            <w:pPr>
              <w:spacing w:after="120"/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/>
                <w:i/>
                <w:color w:val="FFFFFF" w:themeColor="background1"/>
                <w:sz w:val="28"/>
              </w:rPr>
              <w:t>Fecha</w:t>
            </w:r>
            <w:r w:rsidR="002D27BD">
              <w:rPr>
                <w:rFonts w:ascii="Arial" w:hAnsi="Arial"/>
                <w:i/>
                <w:color w:val="FFFFFF" w:themeColor="background1"/>
                <w:sz w:val="28"/>
              </w:rPr>
              <w:t>:</w:t>
            </w:r>
            <w:r>
              <w:rPr>
                <w:rFonts w:ascii="Arial" w:hAnsi="Arial"/>
                <w:i/>
                <w:color w:val="FFFFFF" w:themeColor="background1"/>
                <w:sz w:val="28"/>
              </w:rPr>
              <w:t xml:space="preserve"> 15 a 18 de abril de 2024</w:t>
            </w:r>
          </w:p>
        </w:tc>
      </w:tr>
    </w:tbl>
    <w:p w14:paraId="742E131B" w14:textId="10C0CB0C" w:rsidR="0009306E" w:rsidRPr="005C3929" w:rsidRDefault="005C3929" w:rsidP="00F057FC">
      <w:pPr>
        <w:shd w:val="clear" w:color="auto" w:fill="95B3D7" w:themeFill="accent1" w:themeFillTint="99"/>
        <w:spacing w:before="240"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z w:val="24"/>
        </w:rPr>
        <w:tab/>
        <w:t>OBJETIVOS DEL CURSO</w:t>
      </w:r>
    </w:p>
    <w:p w14:paraId="5DF32AA2" w14:textId="2A78D67D" w:rsidR="0071471C" w:rsidRPr="005C3929" w:rsidRDefault="0071471C" w:rsidP="00F057FC">
      <w:pPr>
        <w:spacing w:after="24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Al finalizar el curso, los participantes estarán en condiciones de:</w:t>
      </w:r>
    </w:p>
    <w:p w14:paraId="0FDE06A1" w14:textId="4A23E2B5" w:rsidR="0011720C" w:rsidRPr="007B33F1" w:rsidRDefault="007B33F1" w:rsidP="00F057FC">
      <w:pPr>
        <w:spacing w:after="240"/>
        <w:ind w:firstLine="567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  <w:t>conocer mejor el nexo entre el comercio y la igualdad de género;</w:t>
      </w:r>
    </w:p>
    <w:p w14:paraId="2DD6B52C" w14:textId="57CD23A2" w:rsidR="005C3929" w:rsidRPr="007B33F1" w:rsidRDefault="007B33F1" w:rsidP="00F057FC">
      <w:pPr>
        <w:spacing w:after="240"/>
        <w:ind w:left="1134" w:hanging="567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  <w:t>utilizar conceptos e instrumentos relacionados con la igualdad de género en la esfera del comercio para analizar las políticas comerciales y elaborar políticas comerciales que tengan en cuenta las cuestiones de género;</w:t>
      </w:r>
    </w:p>
    <w:p w14:paraId="4B6B3275" w14:textId="550611CC" w:rsidR="0011720C" w:rsidRPr="007B33F1" w:rsidRDefault="007B33F1" w:rsidP="00F057FC">
      <w:pPr>
        <w:spacing w:after="240"/>
        <w:ind w:left="1134" w:hanging="567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c.</w:t>
      </w:r>
      <w:r>
        <w:rPr>
          <w:rFonts w:ascii="Arial" w:hAnsi="Arial"/>
          <w:sz w:val="22"/>
        </w:rPr>
        <w:tab/>
        <w:t>comprender cómo aborda la OMC la cuestión del comercio y la igualdad de género;</w:t>
      </w:r>
    </w:p>
    <w:p w14:paraId="6A7B9DCD" w14:textId="2C895F9A" w:rsidR="0011720C" w:rsidRPr="007B33F1" w:rsidRDefault="007B33F1" w:rsidP="00F057FC">
      <w:pPr>
        <w:spacing w:after="240"/>
        <w:ind w:left="1134" w:hanging="567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d.</w:t>
      </w:r>
      <w:r>
        <w:rPr>
          <w:rFonts w:ascii="Arial" w:hAnsi="Arial"/>
          <w:sz w:val="22"/>
        </w:rPr>
        <w:tab/>
        <w:t>acceder a diversas fuentes de información y de datos sobre el comercio y la igualdad de género, y de comprender cómo utilizarlas;</w:t>
      </w:r>
    </w:p>
    <w:p w14:paraId="118AFF8F" w14:textId="5521CEAB" w:rsidR="005C3929" w:rsidRPr="007B33F1" w:rsidRDefault="007B33F1" w:rsidP="00F057FC">
      <w:pPr>
        <w:spacing w:after="240"/>
        <w:ind w:left="1134" w:hanging="567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e.</w:t>
      </w:r>
      <w:r>
        <w:rPr>
          <w:rFonts w:ascii="Arial" w:hAnsi="Arial"/>
          <w:sz w:val="22"/>
        </w:rPr>
        <w:tab/>
        <w:t>entender el papel y los objetivos del Grupo de Trabajo Informal sobre Comercio y Cuestiones de Género, así como su funcionamiento;</w:t>
      </w:r>
    </w:p>
    <w:p w14:paraId="2D5EF2AE" w14:textId="3D9BE0DB" w:rsidR="0009306E" w:rsidRPr="007B33F1" w:rsidRDefault="007B33F1" w:rsidP="00F057FC">
      <w:pPr>
        <w:spacing w:after="240"/>
        <w:ind w:left="1134" w:hanging="567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f.</w:t>
      </w:r>
      <w:r>
        <w:rPr>
          <w:rFonts w:ascii="Arial" w:hAnsi="Arial"/>
          <w:sz w:val="22"/>
        </w:rPr>
        <w:tab/>
        <w:t>conocer las cuestiones temáticas que afectan al nexo entre el comercio y la igualdad de género, con el objetivo de ayudar a los Miembros a integrar las cuestiones de género en el conjunto de sus políticas;</w:t>
      </w:r>
    </w:p>
    <w:p w14:paraId="407F5E06" w14:textId="0BFECC3E" w:rsidR="003D0CA2" w:rsidRPr="007B33F1" w:rsidRDefault="007B33F1" w:rsidP="00F057FC">
      <w:pPr>
        <w:spacing w:after="240"/>
        <w:ind w:left="1134" w:hanging="567"/>
        <w:rPr>
          <w:rFonts w:ascii="Arial" w:hAnsi="Arial" w:cs="Arial"/>
          <w:sz w:val="22"/>
        </w:rPr>
      </w:pPr>
      <w:bookmarkStart w:id="0" w:name="_Hlk126923667"/>
      <w:r>
        <w:rPr>
          <w:rFonts w:ascii="Arial" w:hAnsi="Arial"/>
          <w:sz w:val="22"/>
        </w:rPr>
        <w:t>g.</w:t>
      </w:r>
      <w:r>
        <w:rPr>
          <w:rFonts w:ascii="Arial" w:hAnsi="Arial"/>
          <w:sz w:val="22"/>
        </w:rPr>
        <w:tab/>
        <w:t>comprender mejor la manera en que pueden integrar las cuestiones de género en sus trabajos en la OMC.</w:t>
      </w:r>
    </w:p>
    <w:bookmarkEnd w:id="0"/>
    <w:p w14:paraId="1C85DEF7" w14:textId="6A4691B4" w:rsidR="005C3929" w:rsidRPr="007B33F1" w:rsidRDefault="007B33F1" w:rsidP="00F057FC">
      <w:pPr>
        <w:shd w:val="clear" w:color="auto" w:fill="95B3D7" w:themeFill="accent1" w:themeFillTint="99"/>
        <w:spacing w:before="240"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z w:val="24"/>
        </w:rPr>
        <w:tab/>
        <w:t>EL CURSO COMBINARÁ CONFERENCIAS TÉCNICAS Y SESIONES INTERACTIVAS</w:t>
      </w:r>
    </w:p>
    <w:p w14:paraId="0A0AC380" w14:textId="0F9B0410" w:rsidR="005C3929" w:rsidRPr="007B33F1" w:rsidRDefault="007B33F1" w:rsidP="00F057FC">
      <w:pPr>
        <w:spacing w:after="240"/>
        <w:rPr>
          <w:rFonts w:ascii="Arial" w:hAnsi="Arial" w:cs="Arial"/>
          <w:b/>
          <w:bCs/>
          <w:sz w:val="22"/>
        </w:rPr>
      </w:pPr>
      <w:r>
        <w:rPr>
          <w:rFonts w:ascii="Arial" w:hAnsi="Arial"/>
          <w:b/>
          <w:sz w:val="22"/>
        </w:rPr>
        <w:t>a.</w:t>
      </w:r>
      <w:r>
        <w:rPr>
          <w:rFonts w:ascii="Arial" w:hAnsi="Arial"/>
          <w:b/>
          <w:sz w:val="22"/>
        </w:rPr>
        <w:tab/>
        <w:t>Sesiones de perfeccionamiento técnico</w:t>
      </w:r>
    </w:p>
    <w:p w14:paraId="5551C98E" w14:textId="6B2DBF25" w:rsidR="0009306E" w:rsidRPr="007B33F1" w:rsidRDefault="0009306E" w:rsidP="00561164">
      <w:pPr>
        <w:pStyle w:val="ListBullet2"/>
        <w:tabs>
          <w:tab w:val="clear" w:pos="907"/>
        </w:tabs>
        <w:ind w:left="1134" w:hanging="567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Explicación de los trabajos que se llevan a cabo en la OMC en materia de comercio e igualdad de género</w:t>
      </w:r>
      <w:r w:rsidR="00561164">
        <w:rPr>
          <w:rFonts w:ascii="Arial" w:hAnsi="Arial"/>
          <w:sz w:val="22"/>
        </w:rPr>
        <w:t>.</w:t>
      </w:r>
    </w:p>
    <w:p w14:paraId="5E66855C" w14:textId="550ACFC6" w:rsidR="0009306E" w:rsidRPr="007B33F1" w:rsidRDefault="0009306E" w:rsidP="00561164">
      <w:pPr>
        <w:pStyle w:val="ListBullet2"/>
        <w:tabs>
          <w:tab w:val="clear" w:pos="907"/>
        </w:tabs>
        <w:ind w:left="1134" w:hanging="567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Presentación de datos sobre el impacto del comercio en las mujeres</w:t>
      </w:r>
      <w:r w:rsidR="00561164">
        <w:rPr>
          <w:rFonts w:ascii="Arial" w:hAnsi="Arial"/>
          <w:sz w:val="22"/>
        </w:rPr>
        <w:t>.</w:t>
      </w:r>
    </w:p>
    <w:p w14:paraId="761AACAB" w14:textId="7A653257" w:rsidR="0009306E" w:rsidRPr="007B33F1" w:rsidRDefault="0009306E" w:rsidP="00561164">
      <w:pPr>
        <w:pStyle w:val="ListBullet2"/>
        <w:tabs>
          <w:tab w:val="clear" w:pos="907"/>
        </w:tabs>
        <w:ind w:left="1134" w:hanging="567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Referencia a ejemplos que muestran que las normas comerciales no son neutrales en materia de género</w:t>
      </w:r>
      <w:r w:rsidR="00561164">
        <w:rPr>
          <w:rFonts w:ascii="Arial" w:hAnsi="Arial"/>
          <w:sz w:val="22"/>
        </w:rPr>
        <w:t>.</w:t>
      </w:r>
    </w:p>
    <w:p w14:paraId="7005B98E" w14:textId="1749232D" w:rsidR="0009306E" w:rsidRPr="007B33F1" w:rsidRDefault="0009306E" w:rsidP="00561164">
      <w:pPr>
        <w:pStyle w:val="ListBullet2"/>
        <w:tabs>
          <w:tab w:val="clear" w:pos="907"/>
        </w:tabs>
        <w:ind w:left="1134" w:hanging="567"/>
        <w:contextualSpacing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lastRenderedPageBreak/>
        <w:t>Explicación de los instrumentos de política de la OMC relativos al comercio y la igualdad de género</w:t>
      </w:r>
      <w:r w:rsidR="00561164">
        <w:rPr>
          <w:rFonts w:ascii="Arial" w:hAnsi="Arial"/>
          <w:sz w:val="22"/>
        </w:rPr>
        <w:t>.</w:t>
      </w:r>
    </w:p>
    <w:p w14:paraId="2D11903A" w14:textId="36CC8048" w:rsidR="005C3929" w:rsidRPr="007B33F1" w:rsidRDefault="007B33F1" w:rsidP="00561164">
      <w:pPr>
        <w:spacing w:after="240"/>
        <w:rPr>
          <w:rFonts w:ascii="Arial" w:hAnsi="Arial" w:cs="Arial"/>
          <w:b/>
          <w:bCs/>
          <w:sz w:val="22"/>
        </w:rPr>
      </w:pPr>
      <w:r>
        <w:rPr>
          <w:rFonts w:ascii="Arial" w:hAnsi="Arial"/>
          <w:b/>
          <w:sz w:val="22"/>
        </w:rPr>
        <w:t>b.</w:t>
      </w:r>
      <w:r>
        <w:rPr>
          <w:rFonts w:ascii="Arial" w:hAnsi="Arial"/>
          <w:b/>
          <w:sz w:val="22"/>
        </w:rPr>
        <w:tab/>
        <w:t>Intercambio de información y sesiones interactivas</w:t>
      </w:r>
    </w:p>
    <w:p w14:paraId="23A7F5B0" w14:textId="59E48FDB" w:rsidR="0009306E" w:rsidRPr="007B33F1" w:rsidRDefault="0009306E" w:rsidP="00561164">
      <w:pPr>
        <w:pStyle w:val="ListBullet2"/>
        <w:tabs>
          <w:tab w:val="clear" w:pos="907"/>
        </w:tabs>
        <w:ind w:left="1134" w:hanging="567"/>
        <w:contextualSpacing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Diálogo con los participantes sobre las mejores prácticas nacionales en materia de comercio e igualdad de género y de desarrollo (económico) de las mujeres</w:t>
      </w:r>
      <w:r w:rsidR="00B105E2">
        <w:rPr>
          <w:rFonts w:ascii="Arial" w:hAnsi="Arial"/>
          <w:sz w:val="22"/>
        </w:rPr>
        <w:t>.</w:t>
      </w:r>
    </w:p>
    <w:p w14:paraId="7D8914B6" w14:textId="306F9BA0" w:rsidR="0009306E" w:rsidRPr="007B33F1" w:rsidRDefault="0009306E" w:rsidP="00561164">
      <w:pPr>
        <w:pStyle w:val="ListBullet2"/>
        <w:tabs>
          <w:tab w:val="clear" w:pos="907"/>
        </w:tabs>
        <w:ind w:left="1134" w:hanging="567"/>
        <w:contextualSpacing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Intercambio de opiniones sobre los instrumentos de política de la OMC relativos al comercio y la igualdad de género</w:t>
      </w:r>
      <w:r w:rsidR="00B105E2">
        <w:rPr>
          <w:rFonts w:ascii="Arial" w:hAnsi="Arial"/>
          <w:sz w:val="22"/>
        </w:rPr>
        <w:t>.</w:t>
      </w:r>
    </w:p>
    <w:p w14:paraId="6DC4D07E" w14:textId="7DBD3C93" w:rsidR="0009306E" w:rsidRPr="007B33F1" w:rsidRDefault="0009306E" w:rsidP="00561164">
      <w:pPr>
        <w:pStyle w:val="ListBullet2"/>
        <w:tabs>
          <w:tab w:val="clear" w:pos="907"/>
        </w:tabs>
        <w:ind w:left="1134" w:hanging="567"/>
        <w:contextualSpacing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Intercambio de experiencias nacionales y regionales.</w:t>
      </w:r>
    </w:p>
    <w:p w14:paraId="60668E67" w14:textId="44B22583" w:rsidR="005C3929" w:rsidRPr="007B33F1" w:rsidRDefault="0009306E" w:rsidP="00561164">
      <w:pPr>
        <w:pStyle w:val="ListBullet2"/>
        <w:tabs>
          <w:tab w:val="clear" w:pos="907"/>
        </w:tabs>
        <w:ind w:left="1134" w:hanging="567"/>
        <w:contextualSpacing w:val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Ejercicios de grupo y debates en el marco de cada sesión y </w:t>
      </w:r>
      <w:proofErr w:type="spellStart"/>
      <w:r>
        <w:rPr>
          <w:rFonts w:ascii="Arial" w:hAnsi="Arial"/>
          <w:sz w:val="22"/>
        </w:rPr>
        <w:t>subsesión</w:t>
      </w:r>
      <w:proofErr w:type="spellEnd"/>
      <w:r w:rsidR="00B105E2">
        <w:rPr>
          <w:rFonts w:ascii="Arial" w:hAnsi="Arial"/>
          <w:sz w:val="22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100"/>
        <w:gridCol w:w="2979"/>
        <w:gridCol w:w="606"/>
        <w:gridCol w:w="8895"/>
      </w:tblGrid>
      <w:tr w:rsidR="007B33F1" w:rsidRPr="007B33F1" w14:paraId="2D20F9BD" w14:textId="77777777" w:rsidTr="007B33F1">
        <w:tc>
          <w:tcPr>
            <w:tcW w:w="14560" w:type="dxa"/>
            <w:gridSpan w:val="5"/>
            <w:shd w:val="clear" w:color="auto" w:fill="8DB3E2" w:themeFill="text2" w:themeFillTint="66"/>
            <w:tcMar>
              <w:left w:w="57" w:type="dxa"/>
              <w:right w:w="57" w:type="dxa"/>
            </w:tcMar>
          </w:tcPr>
          <w:p w14:paraId="4EE7C943" w14:textId="469DCC2D" w:rsidR="00F50401" w:rsidRPr="007B33F1" w:rsidRDefault="00B15E3B" w:rsidP="007B33F1">
            <w:pPr>
              <w:jc w:val="center"/>
              <w:rPr>
                <w:rFonts w:ascii="Arial" w:hAnsi="Arial" w:cs="Arial"/>
                <w:b/>
                <w:sz w:val="22"/>
              </w:rPr>
            </w:pPr>
            <w:bookmarkStart w:id="1" w:name="_Hlk97742980"/>
            <w:bookmarkStart w:id="2" w:name="_Hlk132365650"/>
            <w:r>
              <w:br w:type="page"/>
            </w:r>
            <w:r>
              <w:rPr>
                <w:rFonts w:ascii="Arial" w:hAnsi="Arial"/>
                <w:b/>
                <w:sz w:val="22"/>
              </w:rPr>
              <w:br w:type="page"/>
              <w:t>PROGRAMA</w:t>
            </w:r>
          </w:p>
        </w:tc>
      </w:tr>
      <w:tr w:rsidR="007B33F1" w:rsidRPr="007B33F1" w14:paraId="02CD5065" w14:textId="77777777" w:rsidTr="007B33F1">
        <w:tc>
          <w:tcPr>
            <w:tcW w:w="14560" w:type="dxa"/>
            <w:gridSpan w:val="5"/>
            <w:shd w:val="clear" w:color="auto" w:fill="C6D9F1" w:themeFill="text2" w:themeFillTint="33"/>
            <w:tcMar>
              <w:left w:w="57" w:type="dxa"/>
              <w:right w:w="57" w:type="dxa"/>
            </w:tcMar>
          </w:tcPr>
          <w:p w14:paraId="5D2C2D28" w14:textId="1523ABA6" w:rsidR="004465D5" w:rsidRPr="007B33F1" w:rsidRDefault="00E30216" w:rsidP="007B33F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15 de abril de 2024 </w:t>
            </w:r>
          </w:p>
        </w:tc>
      </w:tr>
      <w:tr w:rsidR="007B33F1" w:rsidRPr="007B33F1" w14:paraId="5F4F0FF2" w14:textId="77777777" w:rsidTr="0083029B">
        <w:tc>
          <w:tcPr>
            <w:tcW w:w="1980" w:type="dxa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1FC8F650" w14:textId="77777777" w:rsidR="00F95624" w:rsidRPr="007B33F1" w:rsidRDefault="00F95624" w:rsidP="007B33F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Hora</w:t>
            </w:r>
          </w:p>
        </w:tc>
        <w:tc>
          <w:tcPr>
            <w:tcW w:w="3685" w:type="dxa"/>
            <w:gridSpan w:val="3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7B9E1BCC" w14:textId="77777777" w:rsidR="00F95624" w:rsidRPr="007B33F1" w:rsidRDefault="00F95624" w:rsidP="007B33F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</w:t>
            </w:r>
          </w:p>
        </w:tc>
        <w:tc>
          <w:tcPr>
            <w:tcW w:w="8895" w:type="dxa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7B9D5EE9" w14:textId="77777777" w:rsidR="00F95624" w:rsidRPr="007B33F1" w:rsidRDefault="00F95624" w:rsidP="007B33F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</w:p>
        </w:tc>
      </w:tr>
      <w:bookmarkEnd w:id="1"/>
      <w:bookmarkEnd w:id="2"/>
      <w:tr w:rsidR="007B33F1" w:rsidRPr="007B33F1" w14:paraId="6DE4D368" w14:textId="77777777" w:rsidTr="0083029B">
        <w:tc>
          <w:tcPr>
            <w:tcW w:w="1980" w:type="dxa"/>
            <w:tcMar>
              <w:left w:w="57" w:type="dxa"/>
              <w:right w:w="57" w:type="dxa"/>
            </w:tcMar>
          </w:tcPr>
          <w:p w14:paraId="2DF5E570" w14:textId="730F098B" w:rsidR="001C61BF" w:rsidRPr="007B33F1" w:rsidRDefault="00C0223E" w:rsidP="007B33F1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8.15</w:t>
            </w:r>
            <w:r>
              <w:rPr>
                <w:rFonts w:ascii="Arial" w:hAnsi="Arial"/>
                <w:sz w:val="22"/>
              </w:rPr>
              <w:noBreakHyphen/>
              <w:t>9</w:t>
            </w:r>
            <w:r w:rsidR="00626D53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t xml:space="preserve"> h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</w:tcPr>
          <w:p w14:paraId="34CE722C" w14:textId="47E8D36C" w:rsidR="00EE3B8B" w:rsidRPr="007B33F1" w:rsidRDefault="00C0223E" w:rsidP="007B33F1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 0: Información administrativa</w:t>
            </w:r>
          </w:p>
        </w:tc>
        <w:tc>
          <w:tcPr>
            <w:tcW w:w="8895" w:type="dxa"/>
            <w:tcMar>
              <w:left w:w="57" w:type="dxa"/>
              <w:right w:w="57" w:type="dxa"/>
            </w:tcMar>
          </w:tcPr>
          <w:p w14:paraId="1578FA75" w14:textId="4BE3DD99" w:rsidR="007F3D27" w:rsidRPr="007B33F1" w:rsidRDefault="00C0223E" w:rsidP="0083029B">
            <w:pPr>
              <w:pStyle w:val="ListParagraph"/>
              <w:numPr>
                <w:ilvl w:val="0"/>
                <w:numId w:val="16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Asistencia</w:t>
            </w:r>
          </w:p>
          <w:p w14:paraId="6124BB08" w14:textId="786A5FE8" w:rsidR="00AA732E" w:rsidRPr="007B33F1" w:rsidRDefault="00C0223E" w:rsidP="0083029B">
            <w:pPr>
              <w:pStyle w:val="ListParagraph"/>
              <w:numPr>
                <w:ilvl w:val="0"/>
                <w:numId w:val="16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Tarjeta de pago</w:t>
            </w:r>
          </w:p>
          <w:p w14:paraId="1996E4EB" w14:textId="77777777" w:rsidR="005C3929" w:rsidRPr="007B33F1" w:rsidRDefault="00AA732E" w:rsidP="0083029B">
            <w:pPr>
              <w:pStyle w:val="ListParagraph"/>
              <w:numPr>
                <w:ilvl w:val="0"/>
                <w:numId w:val="16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Certificación</w:t>
            </w:r>
          </w:p>
          <w:p w14:paraId="0D89789D" w14:textId="40AB4EF7" w:rsidR="007B33F1" w:rsidRPr="0083029B" w:rsidRDefault="00C0223E" w:rsidP="0083029B">
            <w:pPr>
              <w:pStyle w:val="ListParagraph"/>
              <w:numPr>
                <w:ilvl w:val="0"/>
                <w:numId w:val="16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Otras cuestiones</w:t>
            </w:r>
          </w:p>
        </w:tc>
      </w:tr>
      <w:tr w:rsidR="007B33F1" w:rsidRPr="007B33F1" w14:paraId="2511FB0D" w14:textId="77777777" w:rsidTr="007B33F1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1FB69AE" w14:textId="7FFE3EB3" w:rsidR="00AA732E" w:rsidRPr="007B33F1" w:rsidRDefault="00A74FE0" w:rsidP="007B33F1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Café de bienvenida</w:t>
            </w:r>
          </w:p>
        </w:tc>
      </w:tr>
      <w:tr w:rsidR="007B33F1" w:rsidRPr="007B33F1" w14:paraId="27113BF8" w14:textId="77777777" w:rsidTr="0083029B">
        <w:tc>
          <w:tcPr>
            <w:tcW w:w="1980" w:type="dxa"/>
            <w:tcMar>
              <w:left w:w="57" w:type="dxa"/>
              <w:right w:w="57" w:type="dxa"/>
            </w:tcMar>
          </w:tcPr>
          <w:p w14:paraId="08C36576" w14:textId="12722570" w:rsidR="00C0223E" w:rsidRPr="007B33F1" w:rsidRDefault="00C0223E" w:rsidP="007B33F1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9.30</w:t>
            </w:r>
            <w:r>
              <w:rPr>
                <w:rFonts w:ascii="Arial" w:hAnsi="Arial"/>
                <w:sz w:val="22"/>
              </w:rPr>
              <w:noBreakHyphen/>
              <w:t>10</w:t>
            </w:r>
            <w:r w:rsidR="00626D53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t xml:space="preserve"> h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</w:tcPr>
          <w:p w14:paraId="4B180E8C" w14:textId="47DA0598" w:rsidR="00C0223E" w:rsidRPr="007B33F1" w:rsidRDefault="00C0223E" w:rsidP="007B33F1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 1: Para empezar bien</w:t>
            </w:r>
          </w:p>
        </w:tc>
        <w:tc>
          <w:tcPr>
            <w:tcW w:w="8895" w:type="dxa"/>
            <w:tcMar>
              <w:left w:w="57" w:type="dxa"/>
              <w:right w:w="57" w:type="dxa"/>
            </w:tcMar>
          </w:tcPr>
          <w:p w14:paraId="3BA0F6AD" w14:textId="70BAA4C6" w:rsidR="00046DF4" w:rsidRPr="0083029B" w:rsidRDefault="00C0223E" w:rsidP="0083029B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Cuestionario previo a la formación</w:t>
            </w:r>
          </w:p>
          <w:p w14:paraId="74F2F0EA" w14:textId="77043E51" w:rsidR="007B33F1" w:rsidRPr="0083029B" w:rsidRDefault="00C0223E" w:rsidP="0083029B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Debate para romper el hielo</w:t>
            </w:r>
          </w:p>
        </w:tc>
      </w:tr>
      <w:tr w:rsidR="007B33F1" w:rsidRPr="007B33F1" w14:paraId="618FA0E2" w14:textId="77777777" w:rsidTr="007B33F1">
        <w:tc>
          <w:tcPr>
            <w:tcW w:w="1980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53E5C588" w14:textId="71CEDD03" w:rsidR="00046DF4" w:rsidRPr="007B33F1" w:rsidRDefault="00886F01" w:rsidP="007B33F1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10</w:t>
            </w:r>
            <w:r w:rsidR="00971910">
              <w:rPr>
                <w:rFonts w:ascii="Arial" w:hAnsi="Arial"/>
                <w:i/>
                <w:sz w:val="22"/>
              </w:rPr>
              <w:t>.00</w:t>
            </w:r>
            <w:r>
              <w:rPr>
                <w:rFonts w:ascii="Arial" w:hAnsi="Arial"/>
                <w:i/>
                <w:sz w:val="22"/>
              </w:rPr>
              <w:noBreakHyphen/>
              <w:t>10.10 h</w:t>
            </w:r>
          </w:p>
        </w:tc>
        <w:tc>
          <w:tcPr>
            <w:tcW w:w="12580" w:type="dxa"/>
            <w:gridSpan w:val="4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30D7CAE6" w14:textId="4DCFF5FB" w:rsidR="00046DF4" w:rsidRPr="007B33F1" w:rsidRDefault="00046DF4" w:rsidP="007B33F1">
            <w:pPr>
              <w:shd w:val="clear" w:color="auto" w:fill="FDE9D9" w:themeFill="accent6" w:themeFillTint="33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Ejercicio – Nube de palabras</w:t>
            </w:r>
          </w:p>
        </w:tc>
      </w:tr>
      <w:tr w:rsidR="007B33F1" w:rsidRPr="007B33F1" w14:paraId="66EB2083" w14:textId="77777777" w:rsidTr="0083029B">
        <w:tc>
          <w:tcPr>
            <w:tcW w:w="1980" w:type="dxa"/>
            <w:tcMar>
              <w:left w:w="57" w:type="dxa"/>
              <w:right w:w="57" w:type="dxa"/>
            </w:tcMar>
          </w:tcPr>
          <w:p w14:paraId="2C11C7B9" w14:textId="3F316EB9" w:rsidR="00046DF4" w:rsidRPr="007B33F1" w:rsidRDefault="00046DF4" w:rsidP="007B33F1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10.10</w:t>
            </w:r>
            <w:r>
              <w:rPr>
                <w:rFonts w:ascii="Arial" w:hAnsi="Arial"/>
                <w:sz w:val="22"/>
              </w:rPr>
              <w:noBreakHyphen/>
              <w:t xml:space="preserve"> 11.10 h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</w:tcPr>
          <w:p w14:paraId="4127CB50" w14:textId="2EE3EDF4" w:rsidR="00046DF4" w:rsidRPr="001F2BAB" w:rsidRDefault="00046DF4" w:rsidP="007B33F1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 2: Desarrollo económico de las mujeres y desarrollo sostenible – Introducción</w:t>
            </w:r>
          </w:p>
        </w:tc>
        <w:tc>
          <w:tcPr>
            <w:tcW w:w="8895" w:type="dxa"/>
            <w:tcMar>
              <w:left w:w="57" w:type="dxa"/>
              <w:right w:w="57" w:type="dxa"/>
            </w:tcMar>
          </w:tcPr>
          <w:p w14:paraId="6A4F1505" w14:textId="5FEBAFFF" w:rsidR="00886F01" w:rsidRPr="0083029B" w:rsidRDefault="00886F01" w:rsidP="0083029B">
            <w:pPr>
              <w:pStyle w:val="ListParagraph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Definición del desarrollo económico de las mujeres</w:t>
            </w:r>
          </w:p>
          <w:p w14:paraId="246C399E" w14:textId="0DA72114" w:rsidR="007B33F1" w:rsidRPr="0083029B" w:rsidRDefault="00886F01" w:rsidP="0083029B">
            <w:pPr>
              <w:pStyle w:val="ListParagraph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Vínculos con el desarrollo sostenible</w:t>
            </w:r>
          </w:p>
        </w:tc>
      </w:tr>
      <w:tr w:rsidR="007B33F1" w:rsidRPr="007B33F1" w14:paraId="1BDE21DB" w14:textId="77777777" w:rsidTr="007B33F1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6E7F63B" w14:textId="7B0E8FA7" w:rsidR="00AA732E" w:rsidRPr="007B33F1" w:rsidRDefault="00AA732E" w:rsidP="00B105E2">
            <w:pPr>
              <w:keepNext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lastRenderedPageBreak/>
              <w:t>Pausa</w:t>
            </w:r>
          </w:p>
        </w:tc>
      </w:tr>
      <w:tr w:rsidR="007B33F1" w:rsidRPr="007B33F1" w14:paraId="3E2C7916" w14:textId="77777777" w:rsidTr="0083029B">
        <w:tc>
          <w:tcPr>
            <w:tcW w:w="1980" w:type="dxa"/>
            <w:tcMar>
              <w:left w:w="57" w:type="dxa"/>
              <w:right w:w="57" w:type="dxa"/>
            </w:tcMar>
          </w:tcPr>
          <w:p w14:paraId="725B3F1C" w14:textId="2F83488E" w:rsidR="00AA732E" w:rsidRPr="007B33F1" w:rsidRDefault="009864D3" w:rsidP="00B105E2">
            <w:pPr>
              <w:keepNext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11.20</w:t>
            </w:r>
            <w:r>
              <w:rPr>
                <w:rFonts w:ascii="Arial" w:hAnsi="Arial"/>
                <w:sz w:val="22"/>
              </w:rPr>
              <w:noBreakHyphen/>
              <w:t>12</w:t>
            </w:r>
            <w:r w:rsidR="00626D53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35 h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</w:tcPr>
          <w:p w14:paraId="5D9A601A" w14:textId="44D473B3" w:rsidR="009717D6" w:rsidRPr="001F2BAB" w:rsidRDefault="00AA732E" w:rsidP="00B105E2">
            <w:pPr>
              <w:keepNext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 3: Comercio e igualdad de género en la OMC</w:t>
            </w:r>
          </w:p>
        </w:tc>
        <w:tc>
          <w:tcPr>
            <w:tcW w:w="8895" w:type="dxa"/>
            <w:tcMar>
              <w:left w:w="57" w:type="dxa"/>
              <w:right w:w="57" w:type="dxa"/>
            </w:tcMar>
          </w:tcPr>
          <w:p w14:paraId="419CCCC0" w14:textId="0F22B0FE" w:rsidR="00046DF4" w:rsidRPr="0083029B" w:rsidRDefault="00AA732E" w:rsidP="00B105E2">
            <w:pPr>
              <w:pStyle w:val="ListParagraph"/>
              <w:keepNext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Vínculos entre el comercio y la igualdad de género: hechos principales, cifras y ejemplos</w:t>
            </w:r>
          </w:p>
          <w:p w14:paraId="366AE6FE" w14:textId="245A3C44" w:rsidR="00046DF4" w:rsidRPr="007B33F1" w:rsidRDefault="00AA732E" w:rsidP="00B105E2">
            <w:pPr>
              <w:pStyle w:val="ListParagraph"/>
              <w:keepNext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Igualdad entre los géneros en la OMC: </w:t>
            </w:r>
            <w:r w:rsidR="00EE5069">
              <w:rPr>
                <w:rFonts w:ascii="Arial" w:hAnsi="Arial"/>
                <w:sz w:val="22"/>
              </w:rPr>
              <w:t xml:space="preserve">la Organización </w:t>
            </w:r>
            <w:r>
              <w:rPr>
                <w:rFonts w:ascii="Arial" w:hAnsi="Arial"/>
                <w:sz w:val="22"/>
              </w:rPr>
              <w:t xml:space="preserve">no tenía en cuenta el </w:t>
            </w:r>
            <w:proofErr w:type="gramStart"/>
            <w:r w:rsidR="0093442C">
              <w:rPr>
                <w:rFonts w:ascii="Arial" w:hAnsi="Arial"/>
                <w:sz w:val="22"/>
              </w:rPr>
              <w:t>género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 w:rsidR="0093442C">
              <w:rPr>
                <w:rFonts w:ascii="Arial" w:hAnsi="Arial"/>
                <w:sz w:val="22"/>
              </w:rPr>
              <w:t>pero ahora</w:t>
            </w:r>
            <w:r>
              <w:rPr>
                <w:rFonts w:ascii="Arial" w:hAnsi="Arial"/>
                <w:sz w:val="22"/>
              </w:rPr>
              <w:t xml:space="preserve"> </w:t>
            </w:r>
            <w:r w:rsidR="00EE5069">
              <w:rPr>
                <w:rFonts w:ascii="Arial" w:hAnsi="Arial"/>
                <w:sz w:val="22"/>
              </w:rPr>
              <w:t>está atenta</w:t>
            </w:r>
            <w:r>
              <w:rPr>
                <w:rFonts w:ascii="Arial" w:hAnsi="Arial"/>
                <w:sz w:val="22"/>
              </w:rPr>
              <w:t xml:space="preserve"> a esta problemática</w:t>
            </w:r>
          </w:p>
        </w:tc>
      </w:tr>
      <w:tr w:rsidR="007B33F1" w:rsidRPr="007B33F1" w14:paraId="0AE46C2E" w14:textId="77777777" w:rsidTr="007B33F1">
        <w:tc>
          <w:tcPr>
            <w:tcW w:w="1980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2754C368" w14:textId="76859038" w:rsidR="001974C5" w:rsidRPr="007B33F1" w:rsidRDefault="001974C5" w:rsidP="007B33F1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bookmarkStart w:id="3" w:name="_Hlk133244881"/>
            <w:r>
              <w:rPr>
                <w:rFonts w:ascii="Arial" w:hAnsi="Arial"/>
                <w:i/>
                <w:sz w:val="22"/>
              </w:rPr>
              <w:t>12.35</w:t>
            </w:r>
            <w:r>
              <w:rPr>
                <w:rFonts w:ascii="Arial" w:hAnsi="Arial"/>
                <w:i/>
                <w:sz w:val="22"/>
              </w:rPr>
              <w:noBreakHyphen/>
              <w:t>12</w:t>
            </w:r>
            <w:r w:rsidR="00626D53">
              <w:rPr>
                <w:rFonts w:ascii="Arial" w:hAnsi="Arial"/>
                <w:i/>
                <w:sz w:val="22"/>
              </w:rPr>
              <w:t>.</w:t>
            </w:r>
            <w:r>
              <w:rPr>
                <w:rFonts w:ascii="Arial" w:hAnsi="Arial"/>
                <w:i/>
                <w:sz w:val="22"/>
              </w:rPr>
              <w:t>45 h</w:t>
            </w:r>
          </w:p>
        </w:tc>
        <w:tc>
          <w:tcPr>
            <w:tcW w:w="12580" w:type="dxa"/>
            <w:gridSpan w:val="4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1F5494FD" w14:textId="16CB37F9" w:rsidR="001974C5" w:rsidRPr="007B33F1" w:rsidRDefault="001974C5" w:rsidP="007B33F1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Cuestionario</w:t>
            </w:r>
          </w:p>
        </w:tc>
      </w:tr>
      <w:bookmarkEnd w:id="3"/>
      <w:tr w:rsidR="007B33F1" w:rsidRPr="007B33F1" w14:paraId="09019525" w14:textId="77777777" w:rsidTr="007B33F1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33CA7E3" w14:textId="2D53AFB6" w:rsidR="00C0223E" w:rsidRPr="007B33F1" w:rsidRDefault="00C0223E" w:rsidP="007B33F1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Pausa para el almuerzo</w:t>
            </w:r>
          </w:p>
        </w:tc>
      </w:tr>
      <w:tr w:rsidR="007B33F1" w:rsidRPr="007B33F1" w14:paraId="311BE1DE" w14:textId="77777777" w:rsidTr="0083029B">
        <w:tc>
          <w:tcPr>
            <w:tcW w:w="1980" w:type="dxa"/>
            <w:tcMar>
              <w:left w:w="57" w:type="dxa"/>
              <w:right w:w="57" w:type="dxa"/>
            </w:tcMar>
          </w:tcPr>
          <w:p w14:paraId="55DD7D1D" w14:textId="54D29259" w:rsidR="00C0223E" w:rsidRPr="007B33F1" w:rsidRDefault="00C0223E" w:rsidP="007B33F1">
            <w:pPr>
              <w:jc w:val="left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  <w:r w:rsidR="00971910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noBreakHyphen/>
              <w:t>15.30 h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</w:tcPr>
          <w:p w14:paraId="7A9F870E" w14:textId="7D11FECF" w:rsidR="00B308EA" w:rsidRPr="007B33F1" w:rsidRDefault="00C0223E" w:rsidP="007B33F1">
            <w:pPr>
              <w:jc w:val="left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 4: Conceptos relacionados con el género y su pertinencia para el comercio</w:t>
            </w:r>
          </w:p>
        </w:tc>
        <w:tc>
          <w:tcPr>
            <w:tcW w:w="8895" w:type="dxa"/>
            <w:tcMar>
              <w:left w:w="57" w:type="dxa"/>
              <w:right w:w="57" w:type="dxa"/>
            </w:tcMar>
          </w:tcPr>
          <w:p w14:paraId="370F353F" w14:textId="20BC6FEC" w:rsidR="00046DF4" w:rsidRPr="0083029B" w:rsidRDefault="001974C5" w:rsidP="0083029B">
            <w:pPr>
              <w:numPr>
                <w:ilvl w:val="0"/>
                <w:numId w:val="18"/>
              </w:numPr>
              <w:spacing w:after="120"/>
              <w:ind w:left="573" w:hanging="573"/>
              <w:jc w:val="left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/>
                <w:sz w:val="22"/>
              </w:rPr>
              <w:t>El concepto de igualdad de género</w:t>
            </w:r>
          </w:p>
          <w:p w14:paraId="2D159C5A" w14:textId="79048E35" w:rsidR="00C0223E" w:rsidRPr="0083029B" w:rsidRDefault="001974C5" w:rsidP="0083029B">
            <w:pPr>
              <w:numPr>
                <w:ilvl w:val="0"/>
                <w:numId w:val="18"/>
              </w:numPr>
              <w:spacing w:after="120"/>
              <w:ind w:left="573" w:hanging="573"/>
              <w:jc w:val="left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/>
                <w:sz w:val="22"/>
              </w:rPr>
              <w:t>12 conceptos/4 categorías: ¿cómo utilizarlos para la elaboración de políticas?</w:t>
            </w:r>
          </w:p>
        </w:tc>
      </w:tr>
      <w:tr w:rsidR="007B33F1" w:rsidRPr="007B33F1" w14:paraId="0F503444" w14:textId="77777777" w:rsidTr="007B33F1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4168745" w14:textId="77777777" w:rsidR="00B308EA" w:rsidRPr="007B33F1" w:rsidRDefault="00B308EA" w:rsidP="007B33F1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Pausa</w:t>
            </w:r>
          </w:p>
        </w:tc>
      </w:tr>
      <w:tr w:rsidR="007B33F1" w:rsidRPr="007B33F1" w14:paraId="7A2A8FFC" w14:textId="77777777" w:rsidTr="0083029B">
        <w:tc>
          <w:tcPr>
            <w:tcW w:w="1980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58980979" w14:textId="3812BA70" w:rsidR="00B308EA" w:rsidRPr="007B33F1" w:rsidRDefault="00B308EA" w:rsidP="007B33F1">
            <w:pPr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15.40</w:t>
            </w:r>
            <w:r>
              <w:rPr>
                <w:rFonts w:ascii="Arial" w:hAnsi="Arial"/>
                <w:i/>
                <w:sz w:val="22"/>
              </w:rPr>
              <w:noBreakHyphen/>
              <w:t>17</w:t>
            </w:r>
            <w:r w:rsidR="00626D53">
              <w:rPr>
                <w:rFonts w:ascii="Arial" w:hAnsi="Arial"/>
                <w:i/>
                <w:sz w:val="22"/>
              </w:rPr>
              <w:t>.</w:t>
            </w:r>
            <w:r>
              <w:rPr>
                <w:rFonts w:ascii="Arial" w:hAnsi="Arial"/>
                <w:i/>
                <w:sz w:val="22"/>
              </w:rPr>
              <w:t>45 h</w:t>
            </w:r>
          </w:p>
        </w:tc>
        <w:tc>
          <w:tcPr>
            <w:tcW w:w="3685" w:type="dxa"/>
            <w:gridSpan w:val="3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5BB04C7C" w14:textId="492750B2" w:rsidR="00B308EA" w:rsidRPr="007B33F1" w:rsidRDefault="00B308EA" w:rsidP="007B33F1">
            <w:pPr>
              <w:jc w:val="left"/>
              <w:rPr>
                <w:rFonts w:ascii="Arial" w:hAnsi="Arial" w:cs="Arial"/>
                <w:i/>
                <w:sz w:val="22"/>
              </w:rPr>
            </w:pPr>
            <w:bookmarkStart w:id="4" w:name="_Hlk132736749"/>
            <w:r>
              <w:rPr>
                <w:rFonts w:ascii="Arial" w:hAnsi="Arial"/>
                <w:i/>
                <w:sz w:val="22"/>
              </w:rPr>
              <w:t>Sesión 4 – Ejercicios</w:t>
            </w:r>
            <w:bookmarkEnd w:id="4"/>
          </w:p>
        </w:tc>
        <w:tc>
          <w:tcPr>
            <w:tcW w:w="8895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15730F9C" w14:textId="1D387464" w:rsidR="00B308EA" w:rsidRPr="007B33F1" w:rsidRDefault="001974C5" w:rsidP="007B33F1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Vídeos y experiencias concretas</w:t>
            </w:r>
          </w:p>
        </w:tc>
      </w:tr>
      <w:tr w:rsidR="007B33F1" w:rsidRPr="007B33F1" w14:paraId="6EA2E80F" w14:textId="77777777" w:rsidTr="007B33F1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C93013A" w14:textId="34ECB36B" w:rsidR="00C0223E" w:rsidRPr="001F2BAB" w:rsidRDefault="00C0223E" w:rsidP="007B33F1">
            <w:pPr>
              <w:jc w:val="center"/>
              <w:rPr>
                <w:rFonts w:ascii="Arial" w:hAnsi="Arial" w:cs="Arial"/>
                <w:i/>
                <w:sz w:val="22"/>
              </w:rPr>
            </w:pPr>
            <w:bookmarkStart w:id="5" w:name="_Hlk97743552"/>
            <w:r>
              <w:br w:type="page"/>
            </w:r>
            <w:r>
              <w:br w:type="page"/>
            </w:r>
            <w:r>
              <w:rPr>
                <w:rFonts w:ascii="Arial" w:hAnsi="Arial"/>
                <w:i/>
                <w:sz w:val="22"/>
              </w:rPr>
              <w:t>Fin del primer día</w:t>
            </w:r>
          </w:p>
        </w:tc>
      </w:tr>
      <w:bookmarkEnd w:id="5"/>
      <w:tr w:rsidR="007B33F1" w:rsidRPr="007B33F1" w14:paraId="467F90C5" w14:textId="77777777" w:rsidTr="0083029B">
        <w:tc>
          <w:tcPr>
            <w:tcW w:w="14560" w:type="dxa"/>
            <w:gridSpan w:val="5"/>
            <w:shd w:val="clear" w:color="auto" w:fill="8DB3E2" w:themeFill="text2" w:themeFillTint="66"/>
            <w:tcMar>
              <w:left w:w="57" w:type="dxa"/>
              <w:right w:w="57" w:type="dxa"/>
            </w:tcMar>
          </w:tcPr>
          <w:p w14:paraId="7748FF85" w14:textId="17AAFACC" w:rsidR="00F90628" w:rsidRPr="007B33F1" w:rsidRDefault="00A74FE0" w:rsidP="00B105E2">
            <w:pPr>
              <w:keepNext/>
              <w:jc w:val="center"/>
              <w:rPr>
                <w:rFonts w:ascii="Arial" w:hAnsi="Arial" w:cs="Arial"/>
                <w:b/>
                <w:sz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/>
                <w:b/>
                <w:sz w:val="22"/>
              </w:rPr>
              <w:t>PROGRAMA</w:t>
            </w:r>
          </w:p>
        </w:tc>
      </w:tr>
      <w:tr w:rsidR="007B33F1" w:rsidRPr="007B33F1" w14:paraId="5A45430F" w14:textId="77777777" w:rsidTr="0083029B">
        <w:tc>
          <w:tcPr>
            <w:tcW w:w="14560" w:type="dxa"/>
            <w:gridSpan w:val="5"/>
            <w:shd w:val="clear" w:color="auto" w:fill="C6D9F1" w:themeFill="text2" w:themeFillTint="33"/>
            <w:tcMar>
              <w:left w:w="57" w:type="dxa"/>
              <w:right w:w="57" w:type="dxa"/>
            </w:tcMar>
          </w:tcPr>
          <w:p w14:paraId="3AEABC44" w14:textId="0E005E8C" w:rsidR="00F90628" w:rsidRPr="007B33F1" w:rsidRDefault="00E30216" w:rsidP="00B105E2">
            <w:pPr>
              <w:keepNext/>
              <w:jc w:val="center"/>
              <w:rPr>
                <w:rFonts w:ascii="Arial" w:hAnsi="Arial" w:cs="Arial"/>
                <w:b/>
                <w:sz w:val="22"/>
              </w:rPr>
            </w:pPr>
            <w:bookmarkStart w:id="6" w:name="_Hlk97743985"/>
            <w:r>
              <w:rPr>
                <w:rFonts w:ascii="Arial" w:hAnsi="Arial"/>
                <w:b/>
                <w:sz w:val="22"/>
              </w:rPr>
              <w:t>16 de abril de 2024</w:t>
            </w:r>
          </w:p>
        </w:tc>
      </w:tr>
      <w:tr w:rsidR="007B33F1" w:rsidRPr="007B33F1" w14:paraId="0C0D43AA" w14:textId="77777777" w:rsidTr="0083029B">
        <w:tc>
          <w:tcPr>
            <w:tcW w:w="1980" w:type="dxa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44340F99" w14:textId="77777777" w:rsidR="00F90628" w:rsidRPr="007B33F1" w:rsidRDefault="00F90628" w:rsidP="00B105E2">
            <w:pPr>
              <w:keepNext/>
              <w:jc w:val="center"/>
              <w:rPr>
                <w:rFonts w:ascii="Arial" w:hAnsi="Arial" w:cs="Arial"/>
                <w:b/>
                <w:sz w:val="22"/>
              </w:rPr>
            </w:pPr>
            <w:bookmarkStart w:id="7" w:name="_Hlk97744150"/>
            <w:bookmarkEnd w:id="6"/>
            <w:r>
              <w:rPr>
                <w:rFonts w:ascii="Arial" w:hAnsi="Arial"/>
                <w:b/>
                <w:sz w:val="22"/>
              </w:rPr>
              <w:t>Hora</w:t>
            </w:r>
          </w:p>
        </w:tc>
        <w:tc>
          <w:tcPr>
            <w:tcW w:w="3685" w:type="dxa"/>
            <w:gridSpan w:val="3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1C47273E" w14:textId="77777777" w:rsidR="00F90628" w:rsidRPr="007B33F1" w:rsidRDefault="00F90628" w:rsidP="00B105E2">
            <w:pPr>
              <w:keepNext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</w:t>
            </w:r>
          </w:p>
        </w:tc>
        <w:tc>
          <w:tcPr>
            <w:tcW w:w="8895" w:type="dxa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70B93403" w14:textId="77777777" w:rsidR="00F90628" w:rsidRPr="007B33F1" w:rsidRDefault="00F90628" w:rsidP="00B105E2">
            <w:pPr>
              <w:keepNext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</w:p>
        </w:tc>
      </w:tr>
      <w:bookmarkEnd w:id="7"/>
      <w:tr w:rsidR="007B33F1" w:rsidRPr="007B33F1" w14:paraId="40179640" w14:textId="77777777" w:rsidTr="0083029B">
        <w:tc>
          <w:tcPr>
            <w:tcW w:w="1980" w:type="dxa"/>
            <w:tcMar>
              <w:left w:w="57" w:type="dxa"/>
              <w:right w:w="57" w:type="dxa"/>
            </w:tcMar>
          </w:tcPr>
          <w:p w14:paraId="6ECEFE76" w14:textId="1C444EFE" w:rsidR="00F90628" w:rsidRPr="007B33F1" w:rsidRDefault="00A82A02" w:rsidP="00B105E2">
            <w:pPr>
              <w:keepNext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  <w:r w:rsidR="00971910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noBreakHyphen/>
              <w:t>10.30 h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</w:tcPr>
          <w:p w14:paraId="1604F213" w14:textId="525362D6" w:rsidR="00EE3B8B" w:rsidRPr="001F2BAB" w:rsidRDefault="00F90628" w:rsidP="00B105E2">
            <w:pPr>
              <w:keepNext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Sesión 5: Elaboración de políticas comerciales que tengan en cuenta las cuestiones de género – </w:t>
            </w:r>
            <w:r>
              <w:rPr>
                <w:rFonts w:ascii="Arial" w:hAnsi="Arial"/>
                <w:b/>
                <w:sz w:val="22"/>
                <w:u w:val="single"/>
              </w:rPr>
              <w:t>Parte 1</w:t>
            </w:r>
          </w:p>
        </w:tc>
        <w:tc>
          <w:tcPr>
            <w:tcW w:w="8895" w:type="dxa"/>
            <w:tcMar>
              <w:left w:w="57" w:type="dxa"/>
              <w:right w:w="57" w:type="dxa"/>
            </w:tcMar>
          </w:tcPr>
          <w:p w14:paraId="65804FD0" w14:textId="748BB323" w:rsidR="00046DF4" w:rsidRPr="0083029B" w:rsidRDefault="001974C5" w:rsidP="00B105E2">
            <w:pPr>
              <w:keepNext/>
              <w:numPr>
                <w:ilvl w:val="0"/>
                <w:numId w:val="19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Integración de la igualdad entre los géneros - políticas comerciales nacionales, acuerdos de libre comercio y programas de Ayuda para el Comercio</w:t>
            </w:r>
          </w:p>
          <w:p w14:paraId="56C78A75" w14:textId="77BF2072" w:rsidR="00A74FE0" w:rsidRPr="0083029B" w:rsidRDefault="001974C5" w:rsidP="00B105E2">
            <w:pPr>
              <w:keepNext/>
              <w:numPr>
                <w:ilvl w:val="0"/>
                <w:numId w:val="19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Enfoque mixto de la formulación de políticas</w:t>
            </w:r>
          </w:p>
        </w:tc>
      </w:tr>
      <w:tr w:rsidR="007B33F1" w:rsidRPr="007B33F1" w14:paraId="40F2FCCC" w14:textId="77777777" w:rsidTr="007B33F1">
        <w:tc>
          <w:tcPr>
            <w:tcW w:w="14560" w:type="dxa"/>
            <w:gridSpan w:val="5"/>
            <w:tcMar>
              <w:left w:w="57" w:type="dxa"/>
              <w:right w:w="57" w:type="dxa"/>
            </w:tcMar>
          </w:tcPr>
          <w:p w14:paraId="49C2603E" w14:textId="77777777" w:rsidR="00A74FE0" w:rsidRPr="007B33F1" w:rsidRDefault="00A74FE0" w:rsidP="00B105E2">
            <w:pPr>
              <w:keepNext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Pausa</w:t>
            </w:r>
          </w:p>
        </w:tc>
      </w:tr>
      <w:tr w:rsidR="007B33F1" w:rsidRPr="007B33F1" w14:paraId="0797130C" w14:textId="77777777" w:rsidTr="0083029B">
        <w:tc>
          <w:tcPr>
            <w:tcW w:w="1980" w:type="dxa"/>
            <w:tcMar>
              <w:left w:w="57" w:type="dxa"/>
              <w:right w:w="57" w:type="dxa"/>
            </w:tcMar>
          </w:tcPr>
          <w:p w14:paraId="7C63AF38" w14:textId="27B99B15" w:rsidR="00A74FE0" w:rsidRPr="007B33F1" w:rsidRDefault="00A74FE0" w:rsidP="00B105E2">
            <w:pPr>
              <w:keepNext/>
              <w:jc w:val="left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/>
                <w:sz w:val="22"/>
              </w:rPr>
              <w:t>10.40</w:t>
            </w:r>
            <w:r>
              <w:rPr>
                <w:rFonts w:ascii="Arial" w:hAnsi="Arial"/>
                <w:sz w:val="22"/>
              </w:rPr>
              <w:noBreakHyphen/>
              <w:t>11.40 h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</w:tcPr>
          <w:p w14:paraId="1745F959" w14:textId="0BEA0F1B" w:rsidR="00A74FE0" w:rsidRPr="0083029B" w:rsidRDefault="00A74FE0" w:rsidP="00B105E2">
            <w:pPr>
              <w:keepNext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Sesión 5: Elaboración de políticas comerciales que tengan en cuenta las cuestiones de género – </w:t>
            </w:r>
            <w:r>
              <w:rPr>
                <w:rFonts w:ascii="Arial" w:hAnsi="Arial"/>
                <w:b/>
                <w:sz w:val="22"/>
                <w:u w:val="single"/>
              </w:rPr>
              <w:t>Parte 2</w:t>
            </w:r>
          </w:p>
        </w:tc>
        <w:tc>
          <w:tcPr>
            <w:tcW w:w="8895" w:type="dxa"/>
            <w:tcMar>
              <w:left w:w="57" w:type="dxa"/>
              <w:right w:w="57" w:type="dxa"/>
            </w:tcMar>
          </w:tcPr>
          <w:p w14:paraId="654CDB03" w14:textId="63A018E3" w:rsidR="00046DF4" w:rsidRPr="0083029B" w:rsidRDefault="001974C5" w:rsidP="00B105E2">
            <w:pPr>
              <w:keepNext/>
              <w:numPr>
                <w:ilvl w:val="0"/>
                <w:numId w:val="20"/>
              </w:numPr>
              <w:spacing w:after="120"/>
              <w:ind w:left="357" w:hanging="357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Obstáculos al comercio para las empresarias</w:t>
            </w:r>
          </w:p>
          <w:p w14:paraId="727B8480" w14:textId="5FE4D64E" w:rsidR="001974C5" w:rsidRPr="0083029B" w:rsidRDefault="001974C5" w:rsidP="00B105E2">
            <w:pPr>
              <w:keepNext/>
              <w:numPr>
                <w:ilvl w:val="0"/>
                <w:numId w:val="20"/>
              </w:numPr>
              <w:spacing w:after="120"/>
              <w:ind w:left="357" w:hanging="357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Soluciones a nivel de las políticas comerciales</w:t>
            </w:r>
          </w:p>
        </w:tc>
      </w:tr>
      <w:tr w:rsidR="007B33F1" w:rsidRPr="007B33F1" w14:paraId="51FD7F48" w14:textId="77777777" w:rsidTr="0083029B">
        <w:tc>
          <w:tcPr>
            <w:tcW w:w="1980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5CDC9BDC" w14:textId="3A50B7E6" w:rsidR="00723464" w:rsidRPr="007B33F1" w:rsidRDefault="00723464" w:rsidP="00B105E2">
            <w:pPr>
              <w:keepNext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11.40</w:t>
            </w:r>
            <w:r>
              <w:rPr>
                <w:rFonts w:ascii="Arial" w:hAnsi="Arial"/>
                <w:i/>
                <w:sz w:val="22"/>
              </w:rPr>
              <w:noBreakHyphen/>
              <w:t>12.30 h</w:t>
            </w:r>
          </w:p>
        </w:tc>
        <w:tc>
          <w:tcPr>
            <w:tcW w:w="3685" w:type="dxa"/>
            <w:gridSpan w:val="3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165428C8" w14:textId="78E3298D" w:rsidR="00723464" w:rsidRPr="007B33F1" w:rsidRDefault="00723464" w:rsidP="00B105E2">
            <w:pPr>
              <w:keepNext/>
              <w:jc w:val="left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Sesión 5 – Ejercicio 1</w:t>
            </w:r>
          </w:p>
        </w:tc>
        <w:tc>
          <w:tcPr>
            <w:tcW w:w="8895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35AD3CAD" w14:textId="3B14588B" w:rsidR="00723464" w:rsidRPr="007B33F1" w:rsidRDefault="00723464" w:rsidP="00B105E2">
            <w:pPr>
              <w:keepNext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Encontrar la receta correcta</w:t>
            </w:r>
          </w:p>
        </w:tc>
      </w:tr>
      <w:tr w:rsidR="007B33F1" w:rsidRPr="007B33F1" w14:paraId="60F7B150" w14:textId="77777777" w:rsidTr="0083029B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5FE89C3" w14:textId="3B93D198" w:rsidR="00723464" w:rsidRPr="007B33F1" w:rsidRDefault="00723464" w:rsidP="00B105E2">
            <w:pPr>
              <w:keepNext/>
              <w:jc w:val="center"/>
              <w:rPr>
                <w:rFonts w:ascii="Arial" w:hAnsi="Arial" w:cs="Arial"/>
                <w:i/>
                <w:sz w:val="22"/>
              </w:rPr>
            </w:pPr>
            <w:bookmarkStart w:id="8" w:name="_Hlk97745057"/>
            <w:r>
              <w:rPr>
                <w:rFonts w:ascii="Arial" w:hAnsi="Arial"/>
                <w:i/>
                <w:sz w:val="22"/>
              </w:rPr>
              <w:t>Pausa para el almuerzo</w:t>
            </w:r>
          </w:p>
        </w:tc>
      </w:tr>
      <w:bookmarkEnd w:id="8"/>
      <w:tr w:rsidR="007B33F1" w:rsidRPr="007B33F1" w14:paraId="52A9745E" w14:textId="77777777" w:rsidTr="0083029B">
        <w:tc>
          <w:tcPr>
            <w:tcW w:w="1980" w:type="dxa"/>
            <w:tcMar>
              <w:left w:w="57" w:type="dxa"/>
              <w:right w:w="57" w:type="dxa"/>
            </w:tcMar>
          </w:tcPr>
          <w:p w14:paraId="07D2F971" w14:textId="750BA674" w:rsidR="00723464" w:rsidRPr="007B33F1" w:rsidRDefault="00723464" w:rsidP="00B105E2">
            <w:pPr>
              <w:keepNext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  <w:r w:rsidR="00971910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noBreakHyphen/>
              <w:t>16</w:t>
            </w:r>
            <w:r w:rsidR="00626D53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t xml:space="preserve"> h</w:t>
            </w:r>
          </w:p>
        </w:tc>
        <w:tc>
          <w:tcPr>
            <w:tcW w:w="3685" w:type="dxa"/>
            <w:gridSpan w:val="3"/>
            <w:tcMar>
              <w:left w:w="57" w:type="dxa"/>
              <w:right w:w="57" w:type="dxa"/>
            </w:tcMar>
          </w:tcPr>
          <w:p w14:paraId="43B81521" w14:textId="1E28C4F0" w:rsidR="00723464" w:rsidRPr="0083029B" w:rsidRDefault="00723464" w:rsidP="00B105E2">
            <w:pPr>
              <w:keepNext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Sesión 5: Elaboración de políticas comerciales que tengan en cuenta las cuestiones de género – </w:t>
            </w:r>
            <w:r>
              <w:rPr>
                <w:rFonts w:ascii="Arial" w:hAnsi="Arial"/>
                <w:b/>
                <w:sz w:val="22"/>
                <w:u w:val="single"/>
              </w:rPr>
              <w:t>Parte 3</w:t>
            </w:r>
          </w:p>
        </w:tc>
        <w:tc>
          <w:tcPr>
            <w:tcW w:w="8895" w:type="dxa"/>
            <w:tcMar>
              <w:left w:w="57" w:type="dxa"/>
              <w:right w:w="57" w:type="dxa"/>
            </w:tcMar>
          </w:tcPr>
          <w:p w14:paraId="16C6AEF1" w14:textId="598A1931" w:rsidR="00046DF4" w:rsidRPr="0083029B" w:rsidRDefault="00723464" w:rsidP="00B105E2">
            <w:pPr>
              <w:keepNext/>
              <w:numPr>
                <w:ilvl w:val="0"/>
                <w:numId w:val="22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Explicación de los instrumentos de política de la OMC relativos al comercio y la igualdad de género</w:t>
            </w:r>
          </w:p>
          <w:p w14:paraId="080F6BDB" w14:textId="2DA5D460" w:rsidR="00046DF4" w:rsidRPr="0083029B" w:rsidRDefault="00723464" w:rsidP="00B105E2">
            <w:pPr>
              <w:keepNext/>
              <w:numPr>
                <w:ilvl w:val="0"/>
                <w:numId w:val="22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Directrices, instrucciones y recomendaciones para la elaboración de políticas</w:t>
            </w:r>
          </w:p>
        </w:tc>
      </w:tr>
      <w:tr w:rsidR="007B33F1" w:rsidRPr="007B33F1" w14:paraId="53083F04" w14:textId="77777777" w:rsidTr="0083029B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F791430" w14:textId="77777777" w:rsidR="00F51C50" w:rsidRPr="007B33F1" w:rsidRDefault="00F51C50" w:rsidP="00B105E2">
            <w:pPr>
              <w:keepNext/>
              <w:jc w:val="center"/>
              <w:rPr>
                <w:rFonts w:ascii="Arial" w:hAnsi="Arial" w:cs="Arial"/>
                <w:i/>
                <w:sz w:val="22"/>
              </w:rPr>
            </w:pPr>
            <w:bookmarkStart w:id="9" w:name="_Hlk132367766"/>
            <w:r>
              <w:rPr>
                <w:rFonts w:ascii="Arial" w:hAnsi="Arial"/>
                <w:i/>
                <w:sz w:val="22"/>
              </w:rPr>
              <w:t>Pausa</w:t>
            </w:r>
          </w:p>
        </w:tc>
      </w:tr>
      <w:bookmarkEnd w:id="9"/>
      <w:tr w:rsidR="007B33F1" w:rsidRPr="007B33F1" w14:paraId="6772214D" w14:textId="77777777" w:rsidTr="0083029B">
        <w:tc>
          <w:tcPr>
            <w:tcW w:w="1980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3787A9D2" w14:textId="53864125" w:rsidR="00723464" w:rsidRPr="007B33F1" w:rsidRDefault="00723464" w:rsidP="00B105E2">
            <w:pPr>
              <w:keepNext/>
              <w:jc w:val="lef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16.10</w:t>
            </w:r>
            <w:r>
              <w:rPr>
                <w:rFonts w:ascii="Arial" w:hAnsi="Arial"/>
                <w:i/>
                <w:sz w:val="22"/>
              </w:rPr>
              <w:noBreakHyphen/>
              <w:t>17.30 h</w:t>
            </w:r>
          </w:p>
        </w:tc>
        <w:tc>
          <w:tcPr>
            <w:tcW w:w="3685" w:type="dxa"/>
            <w:gridSpan w:val="3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6A8ABEFE" w14:textId="0621C61E" w:rsidR="00723464" w:rsidRPr="007B33F1" w:rsidRDefault="00723464" w:rsidP="00B105E2">
            <w:pPr>
              <w:keepNext/>
              <w:jc w:val="lef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Sesión 5 – Ejercicio 2</w:t>
            </w:r>
          </w:p>
        </w:tc>
        <w:tc>
          <w:tcPr>
            <w:tcW w:w="8895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67CE1114" w14:textId="75428E05" w:rsidR="00723464" w:rsidRPr="001F2BAB" w:rsidRDefault="00723464" w:rsidP="00B105E2">
            <w:pPr>
              <w:keepNext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sz w:val="22"/>
                <w:shd w:val="clear" w:color="auto" w:fill="FDE9D9" w:themeFill="accent6" w:themeFillTint="33"/>
              </w:rPr>
              <w:t>Resolver el problema – seleccione sus medidas de política comercial</w:t>
            </w:r>
          </w:p>
        </w:tc>
      </w:tr>
      <w:tr w:rsidR="007B33F1" w:rsidRPr="007B33F1" w14:paraId="38A3F173" w14:textId="77777777" w:rsidTr="0083029B">
        <w:tc>
          <w:tcPr>
            <w:tcW w:w="1980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10EFD3CF" w14:textId="5C00F14F" w:rsidR="00723464" w:rsidRPr="007B33F1" w:rsidRDefault="00723464" w:rsidP="007B33F1">
            <w:pPr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17.30</w:t>
            </w:r>
            <w:r>
              <w:rPr>
                <w:rFonts w:ascii="Arial" w:hAnsi="Arial"/>
                <w:sz w:val="22"/>
              </w:rPr>
              <w:noBreakHyphen/>
              <w:t>17.45 h</w:t>
            </w:r>
          </w:p>
        </w:tc>
        <w:tc>
          <w:tcPr>
            <w:tcW w:w="3685" w:type="dxa"/>
            <w:gridSpan w:val="3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5B9D70FB" w14:textId="318869B8" w:rsidR="00723464" w:rsidRPr="007B33F1" w:rsidRDefault="00EE40F8" w:rsidP="007B33F1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Ejercicio principal: </w:t>
            </w:r>
            <w:r>
              <w:rPr>
                <w:rFonts w:ascii="Arial" w:hAnsi="Arial"/>
                <w:b/>
                <w:sz w:val="22"/>
                <w:u w:val="single"/>
              </w:rPr>
              <w:t>Exposición</w:t>
            </w:r>
          </w:p>
        </w:tc>
        <w:tc>
          <w:tcPr>
            <w:tcW w:w="8895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297551F2" w14:textId="4D01CDB9" w:rsidR="00046DF4" w:rsidRPr="0083029B" w:rsidRDefault="00723464" w:rsidP="0083029B">
            <w:pPr>
              <w:numPr>
                <w:ilvl w:val="0"/>
                <w:numId w:val="21"/>
              </w:numPr>
              <w:spacing w:after="120"/>
              <w:ind w:left="357" w:hanging="357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Diseñe su política comercial teniendo en cuenta el género</w:t>
            </w:r>
          </w:p>
          <w:p w14:paraId="5E3BEB2A" w14:textId="31F1E01B" w:rsidR="00723464" w:rsidRPr="0083029B" w:rsidRDefault="00723464" w:rsidP="0083029B">
            <w:pPr>
              <w:numPr>
                <w:ilvl w:val="0"/>
                <w:numId w:val="21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del ejercicio</w:t>
            </w:r>
          </w:p>
          <w:p w14:paraId="420443A5" w14:textId="4E49D6AA" w:rsidR="00723464" w:rsidRPr="0083029B" w:rsidRDefault="00723464" w:rsidP="0083029B">
            <w:pPr>
              <w:numPr>
                <w:ilvl w:val="0"/>
                <w:numId w:val="21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Distribución de los participantes en seis grupos</w:t>
            </w:r>
          </w:p>
        </w:tc>
      </w:tr>
      <w:tr w:rsidR="007B33F1" w:rsidRPr="007B33F1" w14:paraId="6A6BF820" w14:textId="77777777" w:rsidTr="0083029B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C26DFFF" w14:textId="25B42DB2" w:rsidR="00723464" w:rsidRPr="001F2BAB" w:rsidRDefault="00723464" w:rsidP="007B33F1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/>
                <w:i/>
                <w:sz w:val="22"/>
              </w:rPr>
              <w:t>Fin del segundo día</w:t>
            </w:r>
          </w:p>
        </w:tc>
      </w:tr>
      <w:tr w:rsidR="007B33F1" w:rsidRPr="007B33F1" w14:paraId="71B35C8F" w14:textId="77777777" w:rsidTr="0083029B">
        <w:tc>
          <w:tcPr>
            <w:tcW w:w="14560" w:type="dxa"/>
            <w:gridSpan w:val="5"/>
            <w:shd w:val="clear" w:color="auto" w:fill="8DB3E2" w:themeFill="text2" w:themeFillTint="66"/>
            <w:tcMar>
              <w:left w:w="57" w:type="dxa"/>
              <w:right w:w="57" w:type="dxa"/>
            </w:tcMar>
          </w:tcPr>
          <w:p w14:paraId="57BC6674" w14:textId="74C4AC75" w:rsidR="00F96CE0" w:rsidRPr="007B33F1" w:rsidRDefault="00A74FE0" w:rsidP="0083029B">
            <w:pPr>
              <w:pageBreakBefore/>
              <w:jc w:val="center"/>
              <w:rPr>
                <w:rFonts w:ascii="Arial" w:hAnsi="Arial" w:cs="Arial"/>
                <w:b/>
                <w:sz w:val="22"/>
              </w:rPr>
            </w:pPr>
            <w:bookmarkStart w:id="10" w:name="_Hlk126922874"/>
            <w:bookmarkStart w:id="11" w:name="_Hlk97743717"/>
            <w:r>
              <w:lastRenderedPageBreak/>
              <w:br w:type="page"/>
            </w:r>
            <w:r>
              <w:br w:type="page"/>
            </w:r>
            <w:r>
              <w:rPr>
                <w:rFonts w:ascii="Arial" w:hAnsi="Arial"/>
                <w:b/>
                <w:sz w:val="22"/>
              </w:rPr>
              <w:t>PROGRAMA</w:t>
            </w:r>
          </w:p>
        </w:tc>
      </w:tr>
      <w:tr w:rsidR="007B33F1" w:rsidRPr="007B33F1" w14:paraId="6ED40FBE" w14:textId="77777777" w:rsidTr="0083029B">
        <w:tc>
          <w:tcPr>
            <w:tcW w:w="14560" w:type="dxa"/>
            <w:gridSpan w:val="5"/>
            <w:shd w:val="clear" w:color="auto" w:fill="C6D9F1" w:themeFill="text2" w:themeFillTint="33"/>
            <w:tcMar>
              <w:left w:w="57" w:type="dxa"/>
              <w:right w:w="57" w:type="dxa"/>
            </w:tcMar>
          </w:tcPr>
          <w:p w14:paraId="1E48EDB6" w14:textId="713674B9" w:rsidR="00F96CE0" w:rsidRPr="001F2BAB" w:rsidRDefault="001F2BAB" w:rsidP="007B33F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17 de abril de 2024</w:t>
            </w:r>
          </w:p>
        </w:tc>
      </w:tr>
      <w:tr w:rsidR="007B33F1" w:rsidRPr="007B33F1" w14:paraId="1A962FA9" w14:textId="77777777" w:rsidTr="0083029B">
        <w:tc>
          <w:tcPr>
            <w:tcW w:w="2080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506B0507" w14:textId="77777777" w:rsidR="00F96CE0" w:rsidRPr="007B33F1" w:rsidRDefault="00F96CE0" w:rsidP="007B33F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Hora</w:t>
            </w:r>
          </w:p>
        </w:tc>
        <w:tc>
          <w:tcPr>
            <w:tcW w:w="3585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34ACABD8" w14:textId="77777777" w:rsidR="00F96CE0" w:rsidRPr="007B33F1" w:rsidRDefault="00F96CE0" w:rsidP="007B33F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</w:t>
            </w:r>
          </w:p>
        </w:tc>
        <w:tc>
          <w:tcPr>
            <w:tcW w:w="8895" w:type="dxa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5F495030" w14:textId="77777777" w:rsidR="00F96CE0" w:rsidRPr="007B33F1" w:rsidRDefault="00F96CE0" w:rsidP="007B33F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</w:p>
        </w:tc>
      </w:tr>
      <w:bookmarkEnd w:id="10"/>
      <w:tr w:rsidR="007B33F1" w:rsidRPr="007B33F1" w14:paraId="0C1C5814" w14:textId="77777777" w:rsidTr="0083029B">
        <w:tc>
          <w:tcPr>
            <w:tcW w:w="2080" w:type="dxa"/>
            <w:gridSpan w:val="2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791EF907" w14:textId="6CDBF768" w:rsidR="00AD0A4D" w:rsidRPr="0083029B" w:rsidRDefault="00AD0A4D" w:rsidP="0083029B">
            <w:pPr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  <w:r w:rsidR="00971910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noBreakHyphen/>
              <w:t>12.30 h</w:t>
            </w:r>
          </w:p>
        </w:tc>
        <w:tc>
          <w:tcPr>
            <w:tcW w:w="3585" w:type="dxa"/>
            <w:gridSpan w:val="2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337266D9" w14:textId="31F22E6D" w:rsidR="00AD0A4D" w:rsidRPr="0083029B" w:rsidRDefault="00AD0A4D" w:rsidP="0083029B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Ejercicio principal: Distribución de los participantes en seis grupos</w:t>
            </w:r>
          </w:p>
        </w:tc>
        <w:tc>
          <w:tcPr>
            <w:tcW w:w="8895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540B3C2A" w14:textId="06F9419F" w:rsidR="00046DF4" w:rsidRPr="0083029B" w:rsidRDefault="00AD0A4D" w:rsidP="0083029B">
            <w:pPr>
              <w:pStyle w:val="ListParagraph"/>
              <w:numPr>
                <w:ilvl w:val="0"/>
                <w:numId w:val="25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Tiempo reservado para el trabajo en grupos para realizar el ejercicio dado el día anterior</w:t>
            </w:r>
          </w:p>
          <w:p w14:paraId="40976C23" w14:textId="71C355AD" w:rsidR="00AD0A4D" w:rsidRPr="0083029B" w:rsidRDefault="00AD0A4D" w:rsidP="0083029B">
            <w:pPr>
              <w:pStyle w:val="ListParagraph"/>
              <w:numPr>
                <w:ilvl w:val="0"/>
                <w:numId w:val="25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sz w:val="22"/>
                <w:u w:val="single"/>
              </w:rPr>
              <w:t>Nota</w:t>
            </w:r>
            <w:r w:rsidRPr="00B105E2">
              <w:rPr>
                <w:rFonts w:ascii="Arial" w:hAnsi="Arial"/>
                <w:i/>
                <w:sz w:val="22"/>
              </w:rPr>
              <w:t xml:space="preserve">: </w:t>
            </w:r>
            <w:r>
              <w:rPr>
                <w:rFonts w:ascii="Arial" w:hAnsi="Arial"/>
                <w:i/>
                <w:sz w:val="22"/>
              </w:rPr>
              <w:t>Aunque no hay tiempo de pausa previsto, los grupos se pueden interrumpir si es necesario, siempre que el ejercicio esté listo a las 12.30 h para ser presentado por la tarde</w:t>
            </w:r>
          </w:p>
        </w:tc>
      </w:tr>
      <w:bookmarkEnd w:id="11"/>
      <w:tr w:rsidR="007B33F1" w:rsidRPr="007B33F1" w14:paraId="2584D405" w14:textId="77777777" w:rsidTr="0083029B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0E25287" w14:textId="10F23D0C" w:rsidR="00A74FE0" w:rsidRPr="007B33F1" w:rsidRDefault="00A74FE0" w:rsidP="007B33F1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Pausa para el almuerzo</w:t>
            </w:r>
          </w:p>
        </w:tc>
      </w:tr>
      <w:tr w:rsidR="007B33F1" w:rsidRPr="007B33F1" w14:paraId="06F9CF58" w14:textId="77777777" w:rsidTr="0083029B">
        <w:tc>
          <w:tcPr>
            <w:tcW w:w="2080" w:type="dxa"/>
            <w:gridSpan w:val="2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7CA9149B" w14:textId="37076D55" w:rsidR="00723464" w:rsidRPr="0083029B" w:rsidRDefault="00723464" w:rsidP="0083029B">
            <w:pPr>
              <w:rPr>
                <w:rFonts w:ascii="Arial" w:hAnsi="Arial" w:cs="Arial"/>
                <w:sz w:val="22"/>
              </w:rPr>
            </w:pPr>
            <w:bookmarkStart w:id="12" w:name="_Hlk132796788"/>
            <w:r>
              <w:rPr>
                <w:rFonts w:ascii="Arial" w:hAnsi="Arial"/>
                <w:sz w:val="22"/>
              </w:rPr>
              <w:t>14</w:t>
            </w:r>
            <w:r w:rsidR="00971910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noBreakHyphen/>
              <w:t>15.30 h</w:t>
            </w:r>
          </w:p>
        </w:tc>
        <w:tc>
          <w:tcPr>
            <w:tcW w:w="3585" w:type="dxa"/>
            <w:gridSpan w:val="2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686EC5D9" w14:textId="03301D70" w:rsidR="00723464" w:rsidRPr="0083029B" w:rsidRDefault="00723464" w:rsidP="0083029B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Ejercicio principal: Puesta en común 1</w:t>
            </w:r>
          </w:p>
        </w:tc>
        <w:tc>
          <w:tcPr>
            <w:tcW w:w="8895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5880D123" w14:textId="043B9557" w:rsidR="00046DF4" w:rsidRPr="0083029B" w:rsidRDefault="00723464" w:rsidP="0083029B">
            <w:pPr>
              <w:pStyle w:val="ListParagraph"/>
              <w:numPr>
                <w:ilvl w:val="0"/>
                <w:numId w:val="23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las políticas comerciales diseñadas por los grupos 1, 2 y 3</w:t>
            </w:r>
          </w:p>
          <w:p w14:paraId="57879206" w14:textId="076611BE" w:rsidR="00046DF4" w:rsidRPr="0083029B" w:rsidRDefault="00723464" w:rsidP="0083029B">
            <w:pPr>
              <w:pStyle w:val="ListParagraph"/>
              <w:numPr>
                <w:ilvl w:val="0"/>
                <w:numId w:val="23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Observaciones sobre los resultados, debate y evaluación de los participantes</w:t>
            </w:r>
          </w:p>
        </w:tc>
      </w:tr>
      <w:tr w:rsidR="007B33F1" w:rsidRPr="007B33F1" w14:paraId="3DFCE045" w14:textId="77777777" w:rsidTr="0083029B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2994BC7" w14:textId="77777777" w:rsidR="00714562" w:rsidRPr="007B33F1" w:rsidRDefault="00714562" w:rsidP="007B33F1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Pausa</w:t>
            </w:r>
          </w:p>
        </w:tc>
      </w:tr>
      <w:bookmarkEnd w:id="12"/>
      <w:tr w:rsidR="007B33F1" w:rsidRPr="007B33F1" w14:paraId="76F9DC54" w14:textId="77777777" w:rsidTr="0083029B">
        <w:tc>
          <w:tcPr>
            <w:tcW w:w="2080" w:type="dxa"/>
            <w:gridSpan w:val="2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1A6D7846" w14:textId="222754FC" w:rsidR="00AD0A4D" w:rsidRPr="007B33F1" w:rsidRDefault="00AD0A4D" w:rsidP="007B33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15.40</w:t>
            </w:r>
            <w:r>
              <w:rPr>
                <w:rFonts w:ascii="Arial" w:hAnsi="Arial"/>
                <w:sz w:val="22"/>
              </w:rPr>
              <w:noBreakHyphen/>
              <w:t>17.30 h</w:t>
            </w:r>
          </w:p>
        </w:tc>
        <w:tc>
          <w:tcPr>
            <w:tcW w:w="3585" w:type="dxa"/>
            <w:gridSpan w:val="2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006939E0" w14:textId="59F3FE05" w:rsidR="00AD0A4D" w:rsidRPr="0083029B" w:rsidRDefault="00AD0A4D" w:rsidP="0083029B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Ejercicio principal: Puesta en común 2</w:t>
            </w:r>
          </w:p>
        </w:tc>
        <w:tc>
          <w:tcPr>
            <w:tcW w:w="8895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264B8F0B" w14:textId="4374CCC0" w:rsidR="00046DF4" w:rsidRPr="0083029B" w:rsidRDefault="00AD0A4D" w:rsidP="0083029B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las políticas comerciales diseñadas por los grupos 1, 2 y 3</w:t>
            </w:r>
          </w:p>
          <w:p w14:paraId="61E3B093" w14:textId="4BA54E32" w:rsidR="00046DF4" w:rsidRPr="0083029B" w:rsidRDefault="00AD0A4D" w:rsidP="0083029B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Observaciones sobre los resultados, debate y evaluación de los participantes</w:t>
            </w:r>
          </w:p>
        </w:tc>
      </w:tr>
      <w:tr w:rsidR="007B33F1" w:rsidRPr="007B33F1" w14:paraId="225C3A0A" w14:textId="77777777" w:rsidTr="0083029B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8940A4F" w14:textId="0EA330AB" w:rsidR="00AD0A4D" w:rsidRPr="007B33F1" w:rsidRDefault="00AD0A4D" w:rsidP="007B33F1">
            <w:pPr>
              <w:jc w:val="center"/>
              <w:rPr>
                <w:rFonts w:ascii="Arial" w:hAnsi="Arial" w:cs="Arial"/>
                <w:i/>
                <w:sz w:val="22"/>
              </w:rPr>
            </w:pPr>
            <w:bookmarkStart w:id="13" w:name="_Hlk97744300"/>
            <w:r>
              <w:rPr>
                <w:rFonts w:ascii="Arial" w:hAnsi="Arial"/>
                <w:i/>
                <w:sz w:val="22"/>
              </w:rPr>
              <w:t>Fin del tercer día</w:t>
            </w:r>
          </w:p>
        </w:tc>
      </w:tr>
      <w:bookmarkEnd w:id="13"/>
      <w:tr w:rsidR="0083029B" w:rsidRPr="0083029B" w14:paraId="3CD84FC4" w14:textId="77777777" w:rsidTr="0083029B">
        <w:tc>
          <w:tcPr>
            <w:tcW w:w="14560" w:type="dxa"/>
            <w:gridSpan w:val="5"/>
            <w:shd w:val="clear" w:color="auto" w:fill="8DB3E2" w:themeFill="text2" w:themeFillTint="66"/>
            <w:tcMar>
              <w:left w:w="57" w:type="dxa"/>
              <w:right w:w="57" w:type="dxa"/>
            </w:tcMar>
          </w:tcPr>
          <w:p w14:paraId="434EB090" w14:textId="0BE73917" w:rsidR="006847F5" w:rsidRPr="0083029B" w:rsidRDefault="006847F5" w:rsidP="0083029B">
            <w:pPr>
              <w:pageBreakBefore/>
              <w:jc w:val="center"/>
              <w:rPr>
                <w:rFonts w:ascii="Arial" w:hAnsi="Arial" w:cs="Arial"/>
                <w:b/>
                <w:sz w:val="22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/>
                <w:sz w:val="22"/>
              </w:rPr>
              <w:br w:type="page"/>
              <w:t>PROGRAMA</w:t>
            </w:r>
          </w:p>
        </w:tc>
      </w:tr>
      <w:tr w:rsidR="0083029B" w:rsidRPr="0083029B" w14:paraId="26F5A6E0" w14:textId="77777777" w:rsidTr="0083029B">
        <w:tc>
          <w:tcPr>
            <w:tcW w:w="14560" w:type="dxa"/>
            <w:gridSpan w:val="5"/>
            <w:shd w:val="clear" w:color="auto" w:fill="C6D9F1" w:themeFill="text2" w:themeFillTint="33"/>
            <w:tcMar>
              <w:left w:w="57" w:type="dxa"/>
              <w:right w:w="57" w:type="dxa"/>
            </w:tcMar>
          </w:tcPr>
          <w:p w14:paraId="2C17C537" w14:textId="30E1A230" w:rsidR="00E744CC" w:rsidRPr="0083029B" w:rsidRDefault="001F2BAB" w:rsidP="0083029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 de abril de 2024</w:t>
            </w:r>
          </w:p>
        </w:tc>
      </w:tr>
      <w:tr w:rsidR="0083029B" w:rsidRPr="0083029B" w14:paraId="4CB9C08C" w14:textId="77777777" w:rsidTr="0083029B">
        <w:tc>
          <w:tcPr>
            <w:tcW w:w="2080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390F9553" w14:textId="77777777" w:rsidR="00E744CC" w:rsidRPr="0083029B" w:rsidRDefault="00E744CC" w:rsidP="0083029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Hora</w:t>
            </w:r>
          </w:p>
        </w:tc>
        <w:tc>
          <w:tcPr>
            <w:tcW w:w="2979" w:type="dxa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25E0629A" w14:textId="77777777" w:rsidR="00E744CC" w:rsidRPr="0083029B" w:rsidRDefault="00E744CC" w:rsidP="0083029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</w:t>
            </w:r>
          </w:p>
        </w:tc>
        <w:tc>
          <w:tcPr>
            <w:tcW w:w="9501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2C33726E" w14:textId="77777777" w:rsidR="00E744CC" w:rsidRPr="0083029B" w:rsidRDefault="00E744CC" w:rsidP="0083029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</w:p>
        </w:tc>
      </w:tr>
      <w:tr w:rsidR="0083029B" w:rsidRPr="0083029B" w14:paraId="5169EBCD" w14:textId="77777777" w:rsidTr="0083029B">
        <w:tc>
          <w:tcPr>
            <w:tcW w:w="2080" w:type="dxa"/>
            <w:gridSpan w:val="2"/>
            <w:tcMar>
              <w:left w:w="57" w:type="dxa"/>
              <w:right w:w="57" w:type="dxa"/>
            </w:tcMar>
          </w:tcPr>
          <w:p w14:paraId="1685A769" w14:textId="3451819E" w:rsidR="001C61BF" w:rsidRPr="0083029B" w:rsidRDefault="006847F5" w:rsidP="00830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  <w:r w:rsidR="00971910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noBreakHyphen/>
              <w:t>10.30 h</w:t>
            </w:r>
          </w:p>
        </w:tc>
        <w:tc>
          <w:tcPr>
            <w:tcW w:w="2979" w:type="dxa"/>
            <w:tcMar>
              <w:left w:w="57" w:type="dxa"/>
              <w:right w:w="57" w:type="dxa"/>
            </w:tcMar>
          </w:tcPr>
          <w:p w14:paraId="20742D81" w14:textId="6DA6FD80" w:rsidR="003D0CA2" w:rsidRPr="0083029B" w:rsidRDefault="002412B7" w:rsidP="0083029B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Sesión 6: Comercio, igualdad de género y ... </w:t>
            </w:r>
            <w:r>
              <w:rPr>
                <w:rFonts w:ascii="Arial" w:hAnsi="Arial"/>
                <w:b/>
                <w:sz w:val="22"/>
                <w:u w:val="single"/>
              </w:rPr>
              <w:t>Parte 1</w:t>
            </w:r>
          </w:p>
        </w:tc>
        <w:tc>
          <w:tcPr>
            <w:tcW w:w="9501" w:type="dxa"/>
            <w:gridSpan w:val="2"/>
            <w:tcMar>
              <w:left w:w="57" w:type="dxa"/>
              <w:right w:w="57" w:type="dxa"/>
            </w:tcMar>
          </w:tcPr>
          <w:p w14:paraId="7162AD01" w14:textId="464536AD" w:rsidR="00AD0A4D" w:rsidRPr="00A50AC6" w:rsidRDefault="00AD0A4D" w:rsidP="00A50AC6">
            <w:pPr>
              <w:numPr>
                <w:ilvl w:val="0"/>
                <w:numId w:val="26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Enfoques temáticos del comercio y la igualdad de género</w:t>
            </w:r>
          </w:p>
          <w:p w14:paraId="0D96132A" w14:textId="2C22FDC0" w:rsidR="006E5B70" w:rsidRPr="00A50AC6" w:rsidRDefault="00AD0A4D" w:rsidP="00A50AC6">
            <w:pPr>
              <w:numPr>
                <w:ilvl w:val="0"/>
                <w:numId w:val="26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Nota: Esta sesión es una introducción al curso avanzado que se propondrá en 2024</w:t>
            </w:r>
          </w:p>
        </w:tc>
      </w:tr>
      <w:tr w:rsidR="0083029B" w:rsidRPr="0083029B" w14:paraId="4FC21E57" w14:textId="77777777" w:rsidTr="00A50AC6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0650D75" w14:textId="77777777" w:rsidR="00714562" w:rsidRPr="0083029B" w:rsidRDefault="00714562" w:rsidP="0083029B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Pausa</w:t>
            </w:r>
          </w:p>
        </w:tc>
      </w:tr>
      <w:tr w:rsidR="0083029B" w:rsidRPr="0083029B" w14:paraId="7AEC256F" w14:textId="77777777" w:rsidTr="0083029B">
        <w:tc>
          <w:tcPr>
            <w:tcW w:w="2080" w:type="dxa"/>
            <w:gridSpan w:val="2"/>
            <w:tcMar>
              <w:left w:w="57" w:type="dxa"/>
              <w:right w:w="57" w:type="dxa"/>
            </w:tcMar>
          </w:tcPr>
          <w:p w14:paraId="50FFBC12" w14:textId="78A2A0C7" w:rsidR="00714562" w:rsidRPr="0083029B" w:rsidRDefault="00714562" w:rsidP="00830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10.40</w:t>
            </w:r>
            <w:r>
              <w:rPr>
                <w:rFonts w:ascii="Arial" w:hAnsi="Arial"/>
                <w:sz w:val="22"/>
              </w:rPr>
              <w:noBreakHyphen/>
              <w:t>12.30 h</w:t>
            </w:r>
          </w:p>
        </w:tc>
        <w:tc>
          <w:tcPr>
            <w:tcW w:w="2979" w:type="dxa"/>
            <w:tcMar>
              <w:left w:w="57" w:type="dxa"/>
              <w:right w:w="57" w:type="dxa"/>
            </w:tcMar>
          </w:tcPr>
          <w:p w14:paraId="7DDEDE5E" w14:textId="7B6F0201" w:rsidR="00714562" w:rsidRPr="00A50AC6" w:rsidRDefault="00714562" w:rsidP="0083029B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Sesión 6: Comercio, igualdad de género y ... </w:t>
            </w:r>
            <w:r>
              <w:rPr>
                <w:rFonts w:ascii="Arial" w:hAnsi="Arial"/>
                <w:b/>
                <w:sz w:val="22"/>
                <w:u w:val="single"/>
              </w:rPr>
              <w:t>Parte 2</w:t>
            </w:r>
          </w:p>
        </w:tc>
        <w:tc>
          <w:tcPr>
            <w:tcW w:w="9501" w:type="dxa"/>
            <w:gridSpan w:val="2"/>
            <w:tcMar>
              <w:left w:w="57" w:type="dxa"/>
              <w:right w:w="57" w:type="dxa"/>
            </w:tcMar>
          </w:tcPr>
          <w:p w14:paraId="51426327" w14:textId="0A132AC4" w:rsidR="00AD0A4D" w:rsidRPr="00A50AC6" w:rsidRDefault="00AD0A4D" w:rsidP="00A50AC6">
            <w:pPr>
              <w:numPr>
                <w:ilvl w:val="0"/>
                <w:numId w:val="30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Enfoques temáticos del comercio y la igualdad de género</w:t>
            </w:r>
          </w:p>
          <w:p w14:paraId="6A05C890" w14:textId="36127F19" w:rsidR="00714562" w:rsidRPr="00A50AC6" w:rsidRDefault="00AD0A4D" w:rsidP="00A50AC6">
            <w:pPr>
              <w:numPr>
                <w:ilvl w:val="0"/>
                <w:numId w:val="30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Nota: Esta sesión es una introducción al curso avanzado que se propondrá en 2024</w:t>
            </w:r>
          </w:p>
        </w:tc>
      </w:tr>
      <w:tr w:rsidR="0083029B" w:rsidRPr="0083029B" w14:paraId="78B28F1C" w14:textId="77777777" w:rsidTr="00A50AC6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636A05C" w14:textId="07B0C268" w:rsidR="006847F5" w:rsidRPr="0083029B" w:rsidRDefault="006847F5" w:rsidP="0083029B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br w:type="page"/>
              <w:t>Pausa para el almuerzo</w:t>
            </w:r>
          </w:p>
        </w:tc>
      </w:tr>
      <w:tr w:rsidR="0083029B" w:rsidRPr="0083029B" w14:paraId="71E2ABAD" w14:textId="77777777" w:rsidTr="0083029B">
        <w:tc>
          <w:tcPr>
            <w:tcW w:w="2080" w:type="dxa"/>
            <w:gridSpan w:val="2"/>
            <w:tcMar>
              <w:left w:w="57" w:type="dxa"/>
              <w:right w:w="57" w:type="dxa"/>
            </w:tcMar>
          </w:tcPr>
          <w:p w14:paraId="1CA65164" w14:textId="41F7F722" w:rsidR="002412B7" w:rsidRPr="0083029B" w:rsidRDefault="006847F5" w:rsidP="00830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  <w:r w:rsidR="00971910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noBreakHyphen/>
              <w:t>15.30 h</w:t>
            </w:r>
          </w:p>
        </w:tc>
        <w:tc>
          <w:tcPr>
            <w:tcW w:w="2979" w:type="dxa"/>
            <w:tcMar>
              <w:left w:w="57" w:type="dxa"/>
              <w:right w:w="57" w:type="dxa"/>
            </w:tcMar>
          </w:tcPr>
          <w:p w14:paraId="338D1AB5" w14:textId="60D77D89" w:rsidR="003D0CA2" w:rsidRPr="00A50AC6" w:rsidRDefault="006847F5" w:rsidP="0083029B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 7: Integración de las cuestiones de género en "la labor diaria de la OMC"</w:t>
            </w:r>
          </w:p>
        </w:tc>
        <w:tc>
          <w:tcPr>
            <w:tcW w:w="9501" w:type="dxa"/>
            <w:gridSpan w:val="2"/>
            <w:tcMar>
              <w:left w:w="57" w:type="dxa"/>
              <w:right w:w="57" w:type="dxa"/>
            </w:tcMar>
          </w:tcPr>
          <w:p w14:paraId="65497A16" w14:textId="71FBA1E6" w:rsidR="00046DF4" w:rsidRPr="00A50AC6" w:rsidRDefault="001A5625" w:rsidP="00A50AC6">
            <w:pPr>
              <w:pStyle w:val="ListParagraph"/>
              <w:numPr>
                <w:ilvl w:val="0"/>
                <w:numId w:val="27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Integración de las cuestiones de género en los trabajos de la OMC</w:t>
            </w:r>
          </w:p>
          <w:p w14:paraId="47466021" w14:textId="07807D22" w:rsidR="001A5625" w:rsidRPr="001F2BAB" w:rsidRDefault="001A5625" w:rsidP="00A50AC6">
            <w:pPr>
              <w:pStyle w:val="ListParagraph"/>
              <w:numPr>
                <w:ilvl w:val="0"/>
                <w:numId w:val="27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Flexibilidades en los Acuerdos de la OMC y decisiones relativas al desarrollo</w:t>
            </w:r>
          </w:p>
        </w:tc>
      </w:tr>
      <w:tr w:rsidR="0083029B" w:rsidRPr="0083029B" w14:paraId="38F94BA9" w14:textId="77777777" w:rsidTr="00A50AC6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D68650C" w14:textId="3AAC8D9A" w:rsidR="003D0CA2" w:rsidRPr="0083029B" w:rsidRDefault="003D0CA2" w:rsidP="0083029B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br w:type="page"/>
            </w:r>
            <w:r>
              <w:rPr>
                <w:rFonts w:ascii="Arial" w:hAnsi="Arial"/>
                <w:i/>
                <w:sz w:val="22"/>
              </w:rPr>
              <w:t>Pausa</w:t>
            </w:r>
          </w:p>
        </w:tc>
      </w:tr>
      <w:tr w:rsidR="0083029B" w:rsidRPr="0083029B" w14:paraId="571DF0D4" w14:textId="77777777" w:rsidTr="0083029B">
        <w:tc>
          <w:tcPr>
            <w:tcW w:w="2080" w:type="dxa"/>
            <w:gridSpan w:val="2"/>
            <w:tcMar>
              <w:left w:w="57" w:type="dxa"/>
              <w:right w:w="57" w:type="dxa"/>
            </w:tcMar>
          </w:tcPr>
          <w:p w14:paraId="4F26CC7F" w14:textId="341ACFF9" w:rsidR="006847F5" w:rsidRPr="0083029B" w:rsidRDefault="006847F5" w:rsidP="00830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15.40</w:t>
            </w:r>
            <w:r>
              <w:rPr>
                <w:rFonts w:ascii="Arial" w:hAnsi="Arial"/>
                <w:sz w:val="22"/>
              </w:rPr>
              <w:noBreakHyphen/>
              <w:t>16.30 h</w:t>
            </w:r>
          </w:p>
        </w:tc>
        <w:tc>
          <w:tcPr>
            <w:tcW w:w="2979" w:type="dxa"/>
            <w:tcMar>
              <w:left w:w="57" w:type="dxa"/>
              <w:right w:w="57" w:type="dxa"/>
            </w:tcMar>
          </w:tcPr>
          <w:p w14:paraId="1E8010B6" w14:textId="03A95AE7" w:rsidR="003D0CA2" w:rsidRPr="00A50AC6" w:rsidRDefault="006847F5" w:rsidP="0083029B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 8: Balance</w:t>
            </w:r>
          </w:p>
        </w:tc>
        <w:tc>
          <w:tcPr>
            <w:tcW w:w="9501" w:type="dxa"/>
            <w:gridSpan w:val="2"/>
            <w:tcMar>
              <w:left w:w="57" w:type="dxa"/>
              <w:right w:w="57" w:type="dxa"/>
            </w:tcMar>
          </w:tcPr>
          <w:p w14:paraId="22C666FB" w14:textId="490EDFB9" w:rsidR="00046DF4" w:rsidRPr="00A50AC6" w:rsidRDefault="001A5625" w:rsidP="00A50AC6">
            <w:pPr>
              <w:pStyle w:val="ListParagraph"/>
              <w:numPr>
                <w:ilvl w:val="0"/>
                <w:numId w:val="29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Debates basados en vídeos</w:t>
            </w:r>
          </w:p>
          <w:p w14:paraId="320DD129" w14:textId="7B96EF9E" w:rsidR="00046DF4" w:rsidRPr="00A50AC6" w:rsidRDefault="00046DF4" w:rsidP="00A50AC6">
            <w:pPr>
              <w:pStyle w:val="ListParagraph"/>
              <w:numPr>
                <w:ilvl w:val="0"/>
                <w:numId w:val="29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Repaso de los principales aspectos del curso</w:t>
            </w:r>
          </w:p>
        </w:tc>
      </w:tr>
      <w:tr w:rsidR="0083029B" w:rsidRPr="0083029B" w14:paraId="34F6961F" w14:textId="77777777" w:rsidTr="0083029B">
        <w:tc>
          <w:tcPr>
            <w:tcW w:w="2080" w:type="dxa"/>
            <w:gridSpan w:val="2"/>
            <w:tcMar>
              <w:left w:w="57" w:type="dxa"/>
              <w:right w:w="57" w:type="dxa"/>
            </w:tcMar>
          </w:tcPr>
          <w:p w14:paraId="5966141D" w14:textId="67E73E8A" w:rsidR="001A5625" w:rsidRPr="00A50AC6" w:rsidRDefault="001A5625" w:rsidP="00830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16.30</w:t>
            </w:r>
            <w:r>
              <w:rPr>
                <w:rFonts w:ascii="Arial" w:hAnsi="Arial"/>
                <w:sz w:val="22"/>
              </w:rPr>
              <w:noBreakHyphen/>
              <w:t>16.45 h</w:t>
            </w:r>
          </w:p>
        </w:tc>
        <w:tc>
          <w:tcPr>
            <w:tcW w:w="2979" w:type="dxa"/>
            <w:tcMar>
              <w:left w:w="57" w:type="dxa"/>
              <w:right w:w="57" w:type="dxa"/>
            </w:tcMar>
          </w:tcPr>
          <w:p w14:paraId="3C1E70FB" w14:textId="2D5715D7" w:rsidR="001A5625" w:rsidRPr="00A50AC6" w:rsidRDefault="001A5625" w:rsidP="00A50AC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 9: Evaluación</w:t>
            </w:r>
          </w:p>
        </w:tc>
        <w:tc>
          <w:tcPr>
            <w:tcW w:w="9501" w:type="dxa"/>
            <w:gridSpan w:val="2"/>
            <w:tcMar>
              <w:left w:w="57" w:type="dxa"/>
              <w:right w:w="57" w:type="dxa"/>
            </w:tcMar>
          </w:tcPr>
          <w:p w14:paraId="5A075586" w14:textId="66A2CF0D" w:rsidR="00046DF4" w:rsidRPr="00A50AC6" w:rsidRDefault="00046DF4" w:rsidP="00A50AC6">
            <w:pPr>
              <w:pStyle w:val="ListParagraph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Evaluación del curso</w:t>
            </w:r>
          </w:p>
          <w:p w14:paraId="76E11BDB" w14:textId="34670A0D" w:rsidR="00046DF4" w:rsidRPr="00A50AC6" w:rsidRDefault="00046DF4" w:rsidP="00A50AC6">
            <w:pPr>
              <w:pStyle w:val="ListParagraph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Formulario a rellenar</w:t>
            </w:r>
            <w:proofErr w:type="gramEnd"/>
            <w:r>
              <w:rPr>
                <w:rFonts w:ascii="Arial" w:hAnsi="Arial"/>
                <w:sz w:val="22"/>
              </w:rPr>
              <w:t xml:space="preserve"> por los participantes</w:t>
            </w:r>
          </w:p>
        </w:tc>
      </w:tr>
      <w:tr w:rsidR="0083029B" w:rsidRPr="0083029B" w14:paraId="733E0325" w14:textId="77777777" w:rsidTr="0083029B">
        <w:tc>
          <w:tcPr>
            <w:tcW w:w="2080" w:type="dxa"/>
            <w:gridSpan w:val="2"/>
            <w:tcMar>
              <w:left w:w="57" w:type="dxa"/>
              <w:right w:w="57" w:type="dxa"/>
            </w:tcMar>
          </w:tcPr>
          <w:p w14:paraId="060C5F76" w14:textId="6B483315" w:rsidR="00313C58" w:rsidRPr="0083029B" w:rsidRDefault="001A5625" w:rsidP="00830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16.45</w:t>
            </w:r>
            <w:r>
              <w:rPr>
                <w:rFonts w:ascii="Arial" w:hAnsi="Arial"/>
                <w:sz w:val="22"/>
              </w:rPr>
              <w:noBreakHyphen/>
              <w:t>17</w:t>
            </w:r>
            <w:r w:rsidR="00971910">
              <w:rPr>
                <w:rFonts w:ascii="Arial" w:hAnsi="Arial"/>
                <w:sz w:val="22"/>
              </w:rPr>
              <w:t>.00</w:t>
            </w:r>
            <w:r>
              <w:rPr>
                <w:rFonts w:ascii="Arial" w:hAnsi="Arial"/>
                <w:sz w:val="22"/>
              </w:rPr>
              <w:t xml:space="preserve"> h</w:t>
            </w:r>
          </w:p>
        </w:tc>
        <w:tc>
          <w:tcPr>
            <w:tcW w:w="2979" w:type="dxa"/>
            <w:tcMar>
              <w:left w:w="57" w:type="dxa"/>
              <w:right w:w="57" w:type="dxa"/>
            </w:tcMar>
          </w:tcPr>
          <w:p w14:paraId="23B6F18F" w14:textId="57A2A905" w:rsidR="00313C58" w:rsidRPr="00A50AC6" w:rsidRDefault="00313C58" w:rsidP="0083029B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Sesión 10: Conclusión y clausura</w:t>
            </w:r>
          </w:p>
        </w:tc>
        <w:tc>
          <w:tcPr>
            <w:tcW w:w="9501" w:type="dxa"/>
            <w:gridSpan w:val="2"/>
            <w:tcMar>
              <w:left w:w="57" w:type="dxa"/>
              <w:right w:w="57" w:type="dxa"/>
            </w:tcMar>
          </w:tcPr>
          <w:p w14:paraId="60E4D0D8" w14:textId="6C44248A" w:rsidR="00046DF4" w:rsidRPr="00A50AC6" w:rsidRDefault="001A5625" w:rsidP="00A50AC6">
            <w:pPr>
              <w:pStyle w:val="ListParagraph"/>
              <w:numPr>
                <w:ilvl w:val="0"/>
                <w:numId w:val="28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Próximas etapas de la formación</w:t>
            </w:r>
          </w:p>
          <w:p w14:paraId="3C5DBD90" w14:textId="3C4BD019" w:rsidR="00046DF4" w:rsidRPr="00A50AC6" w:rsidRDefault="001A5625" w:rsidP="00A50AC6">
            <w:pPr>
              <w:pStyle w:val="ListParagraph"/>
              <w:numPr>
                <w:ilvl w:val="0"/>
                <w:numId w:val="28"/>
              </w:numPr>
              <w:spacing w:after="120"/>
              <w:ind w:left="357" w:hanging="357"/>
              <w:contextualSpacing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Clausura</w:t>
            </w:r>
          </w:p>
        </w:tc>
      </w:tr>
      <w:tr w:rsidR="0083029B" w:rsidRPr="0083029B" w14:paraId="68213AA0" w14:textId="77777777" w:rsidTr="00A50AC6">
        <w:tc>
          <w:tcPr>
            <w:tcW w:w="1456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788047E" w14:textId="60A1CAFE" w:rsidR="006847F5" w:rsidRPr="0083029B" w:rsidRDefault="006847F5" w:rsidP="0083029B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Fin del cuarto día y del curso</w:t>
            </w:r>
          </w:p>
        </w:tc>
      </w:tr>
    </w:tbl>
    <w:p w14:paraId="5DD2F8B2" w14:textId="77777777" w:rsidR="00F95624" w:rsidRPr="005C3929" w:rsidRDefault="00F95624" w:rsidP="005C3929">
      <w:pPr>
        <w:spacing w:after="240"/>
        <w:rPr>
          <w:rFonts w:ascii="Arial" w:hAnsi="Arial" w:cs="Arial"/>
        </w:rPr>
      </w:pPr>
    </w:p>
    <w:sectPr w:rsidR="00F95624" w:rsidRPr="005C3929" w:rsidSect="005C3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701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577B" w14:textId="77777777" w:rsidR="00624929" w:rsidRPr="005C3929" w:rsidRDefault="00624929" w:rsidP="00ED54E0">
      <w:r w:rsidRPr="005C3929">
        <w:separator/>
      </w:r>
    </w:p>
  </w:endnote>
  <w:endnote w:type="continuationSeparator" w:id="0">
    <w:p w14:paraId="6E8ACE3C" w14:textId="77777777" w:rsidR="00624929" w:rsidRPr="005C3929" w:rsidRDefault="00624929" w:rsidP="00ED54E0">
      <w:r w:rsidRPr="005C39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8964" w14:textId="15DFF1C2" w:rsidR="008B181A" w:rsidRPr="005C3929" w:rsidRDefault="005C3929" w:rsidP="005C3929">
    <w:pPr>
      <w:pStyle w:val="Footer"/>
    </w:pPr>
    <w:r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320E" w14:textId="528AAD10" w:rsidR="008B181A" w:rsidRPr="005C3929" w:rsidRDefault="005C3929" w:rsidP="005C3929">
    <w:pPr>
      <w:pStyle w:val="Footer"/>
    </w:pPr>
    <w:r>
      <w:rPr>
        <w:rStyle w:val="PageNumber"/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0EBA" w14:textId="7A0E6906" w:rsidR="005C3929" w:rsidRPr="005C3929" w:rsidRDefault="005C3929" w:rsidP="005C392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D2A5" w14:textId="77777777" w:rsidR="00624929" w:rsidRPr="005C3929" w:rsidRDefault="00624929" w:rsidP="00ED54E0">
      <w:r w:rsidRPr="005C3929">
        <w:separator/>
      </w:r>
    </w:p>
  </w:footnote>
  <w:footnote w:type="continuationSeparator" w:id="0">
    <w:p w14:paraId="6777DFCD" w14:textId="77777777" w:rsidR="00624929" w:rsidRPr="005C3929" w:rsidRDefault="00624929" w:rsidP="00ED54E0">
      <w:r w:rsidRPr="005C39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C0FA" w14:textId="77777777" w:rsidR="005C3929" w:rsidRPr="005C3929" w:rsidRDefault="005C3929" w:rsidP="005C3929">
    <w:pPr>
      <w:pStyle w:val="Header"/>
      <w:framePr w:w="737" w:h="9027" w:hRule="exact" w:wrap="around" w:vAnchor="page" w:hAnchor="page" w:x="15383" w:y="1441"/>
      <w:spacing w:after="240"/>
      <w:jc w:val="center"/>
      <w:textDirection w:val="tbRl"/>
    </w:pPr>
    <w:r>
      <w:t>INT/SUB/DEV/817 • Unidad de Comercio y Género de la OMC • 2023</w:t>
    </w:r>
  </w:p>
  <w:p w14:paraId="42021E12" w14:textId="77777777" w:rsidR="005C3929" w:rsidRPr="005C3929" w:rsidRDefault="005C3929" w:rsidP="005C3929">
    <w:pPr>
      <w:pStyle w:val="Header"/>
      <w:framePr w:w="737" w:h="9027" w:hRule="exact" w:wrap="around" w:vAnchor="page" w:hAnchor="page" w:x="15383" w:y="1441"/>
      <w:pBdr>
        <w:bottom w:val="single" w:sz="4" w:space="1" w:color="auto"/>
      </w:pBdr>
      <w:jc w:val="center"/>
      <w:textDirection w:val="tbRl"/>
    </w:pPr>
    <w:r>
      <w:t xml:space="preserve">- </w:t>
    </w:r>
    <w:r w:rsidRPr="005C3929">
      <w:fldChar w:fldCharType="begin"/>
    </w:r>
    <w:r w:rsidRPr="005C3929">
      <w:instrText xml:space="preserve"> PAGE  \* Arabic  \* MERGEFORMAT </w:instrText>
    </w:r>
    <w:r w:rsidRPr="005C3929">
      <w:fldChar w:fldCharType="separate"/>
    </w:r>
    <w:r w:rsidRPr="005C3929">
      <w:t>1</w:t>
    </w:r>
    <w:r w:rsidRPr="005C3929">
      <w:fldChar w:fldCharType="end"/>
    </w:r>
    <w:r>
      <w:t xml:space="preserve"> -</w:t>
    </w:r>
  </w:p>
  <w:p w14:paraId="3B635784" w14:textId="30A17859" w:rsidR="005C3929" w:rsidRPr="005C3929" w:rsidRDefault="005C3929" w:rsidP="005C3929">
    <w:pPr>
      <w:pStyle w:val="Header"/>
      <w:framePr w:w="737" w:h="9027" w:hRule="exact" w:wrap="around" w:vAnchor="page" w:hAnchor="page" w:x="15383" w:y="1441"/>
      <w:textDirection w:val="tbRl"/>
    </w:pPr>
  </w:p>
  <w:p w14:paraId="3BE1CE60" w14:textId="057CE9AB" w:rsidR="005C3929" w:rsidRPr="005C3929" w:rsidRDefault="005C3929" w:rsidP="005C3929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4109" w14:textId="5DAE14D4" w:rsidR="005C3929" w:rsidRPr="005C3929" w:rsidRDefault="00A50AC6" w:rsidP="005C3929">
    <w:pPr>
      <w:pStyle w:val="Header"/>
      <w:framePr w:w="737" w:h="9027" w:hRule="exact" w:wrap="around" w:vAnchor="page" w:hAnchor="page" w:x="15383" w:y="1441"/>
      <w:textDirection w:val="tbRl"/>
    </w:pPr>
    <w:r>
      <w:t xml:space="preserve"> </w:t>
    </w:r>
  </w:p>
  <w:p w14:paraId="06306781" w14:textId="1F44BA79" w:rsidR="007B33F1" w:rsidRDefault="007B33F1" w:rsidP="007B33F1">
    <w:pPr>
      <w:pStyle w:val="Header"/>
      <w:tabs>
        <w:tab w:val="clear" w:pos="4513"/>
        <w:tab w:val="clear" w:pos="9027"/>
        <w:tab w:val="center" w:pos="7371"/>
        <w:tab w:val="left" w:pos="1020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9CD2D33" wp14:editId="3F4BC35C">
          <wp:simplePos x="0" y="0"/>
          <wp:positionH relativeFrom="margin">
            <wp:posOffset>-635</wp:posOffset>
          </wp:positionH>
          <wp:positionV relativeFrom="paragraph">
            <wp:posOffset>-445531</wp:posOffset>
          </wp:positionV>
          <wp:extent cx="2452370" cy="10528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>Unidad de Comercio y Género de la OMC</w:t>
    </w:r>
  </w:p>
  <w:p w14:paraId="09FF7F8E" w14:textId="1D69EEA1" w:rsidR="007B33F1" w:rsidRPr="005C3929" w:rsidRDefault="007B33F1" w:rsidP="007B33F1">
    <w:pPr>
      <w:pStyle w:val="Header"/>
      <w:tabs>
        <w:tab w:val="clear" w:pos="4513"/>
        <w:tab w:val="clear" w:pos="9027"/>
        <w:tab w:val="center" w:pos="7371"/>
        <w:tab w:val="left" w:pos="14082"/>
      </w:tabs>
    </w:pPr>
    <w:r>
      <w:tab/>
    </w:r>
    <w:r>
      <w:tab/>
      <w:t>2024</w:t>
    </w:r>
  </w:p>
  <w:p w14:paraId="12364292" w14:textId="636A75A7" w:rsidR="008B181A" w:rsidRPr="005C3929" w:rsidRDefault="008B181A" w:rsidP="005C3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4E3D" w14:textId="7814C0CA" w:rsidR="005C3929" w:rsidRDefault="005C3929" w:rsidP="005C3929">
    <w:pPr>
      <w:pStyle w:val="Header"/>
      <w:tabs>
        <w:tab w:val="clear" w:pos="4513"/>
        <w:tab w:val="clear" w:pos="9027"/>
        <w:tab w:val="center" w:pos="7371"/>
        <w:tab w:val="left" w:pos="102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716E4AC" wp14:editId="58DF4B72">
          <wp:simplePos x="0" y="0"/>
          <wp:positionH relativeFrom="margin">
            <wp:posOffset>-635</wp:posOffset>
          </wp:positionH>
          <wp:positionV relativeFrom="paragraph">
            <wp:posOffset>-445531</wp:posOffset>
          </wp:positionV>
          <wp:extent cx="2452370" cy="10528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>Unidad de Comercio y Género de la OMC</w:t>
    </w:r>
  </w:p>
  <w:p w14:paraId="695033EB" w14:textId="2208634B" w:rsidR="005C3929" w:rsidRPr="005C3929" w:rsidRDefault="005C3929" w:rsidP="005C3929">
    <w:pPr>
      <w:pStyle w:val="Header"/>
      <w:tabs>
        <w:tab w:val="clear" w:pos="4513"/>
        <w:tab w:val="clear" w:pos="9027"/>
        <w:tab w:val="center" w:pos="7371"/>
        <w:tab w:val="left" w:pos="14082"/>
      </w:tabs>
    </w:pPr>
    <w:r>
      <w:tab/>
    </w:r>
    <w:r>
      <w:tab/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7C621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3F66FA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4E1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A4A56"/>
    <w:multiLevelType w:val="hybridMultilevel"/>
    <w:tmpl w:val="157A7170"/>
    <w:lvl w:ilvl="0" w:tplc="7C8A496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D4D21"/>
    <w:multiLevelType w:val="hybridMultilevel"/>
    <w:tmpl w:val="5CD4C6C8"/>
    <w:lvl w:ilvl="0" w:tplc="42CA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A246F"/>
    <w:multiLevelType w:val="hybridMultilevel"/>
    <w:tmpl w:val="0A06D474"/>
    <w:lvl w:ilvl="0" w:tplc="46C67A2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A16C4"/>
    <w:multiLevelType w:val="hybridMultilevel"/>
    <w:tmpl w:val="4822B0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0A1A15"/>
    <w:multiLevelType w:val="hybridMultilevel"/>
    <w:tmpl w:val="BD340AE6"/>
    <w:lvl w:ilvl="0" w:tplc="42CA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9611A"/>
    <w:multiLevelType w:val="hybridMultilevel"/>
    <w:tmpl w:val="E09409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0CBB"/>
    <w:multiLevelType w:val="hybridMultilevel"/>
    <w:tmpl w:val="0D0844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E72EDE"/>
    <w:multiLevelType w:val="hybridMultilevel"/>
    <w:tmpl w:val="5F90752E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19F2"/>
    <w:multiLevelType w:val="hybridMultilevel"/>
    <w:tmpl w:val="64A207FC"/>
    <w:lvl w:ilvl="0" w:tplc="42CA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096A03"/>
    <w:multiLevelType w:val="hybridMultilevel"/>
    <w:tmpl w:val="EA0098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D7C"/>
    <w:multiLevelType w:val="hybridMultilevel"/>
    <w:tmpl w:val="2BDCF9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136E1"/>
    <w:multiLevelType w:val="hybridMultilevel"/>
    <w:tmpl w:val="17380DB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98222B"/>
    <w:multiLevelType w:val="hybridMultilevel"/>
    <w:tmpl w:val="EFF41BC4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5467C"/>
    <w:multiLevelType w:val="hybridMultilevel"/>
    <w:tmpl w:val="21309C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07BC5"/>
    <w:multiLevelType w:val="hybridMultilevel"/>
    <w:tmpl w:val="F90A7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E948C5"/>
    <w:multiLevelType w:val="multilevel"/>
    <w:tmpl w:val="D0EC839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7" w15:restartNumberingAfterBreak="0">
    <w:nsid w:val="549D4BF4"/>
    <w:multiLevelType w:val="hybridMultilevel"/>
    <w:tmpl w:val="2A6C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647220"/>
    <w:multiLevelType w:val="hybridMultilevel"/>
    <w:tmpl w:val="05C0D41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6AA067D"/>
    <w:multiLevelType w:val="hybridMultilevel"/>
    <w:tmpl w:val="43209CA6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54AB1"/>
    <w:multiLevelType w:val="multilevel"/>
    <w:tmpl w:val="64825CF2"/>
    <w:numStyleLink w:val="LegalHeadings"/>
  </w:abstractNum>
  <w:abstractNum w:abstractNumId="31" w15:restartNumberingAfterBreak="0">
    <w:nsid w:val="57551E12"/>
    <w:multiLevelType w:val="multilevel"/>
    <w:tmpl w:val="64825CF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2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0F1D3A"/>
    <w:multiLevelType w:val="hybridMultilevel"/>
    <w:tmpl w:val="008C3F46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94F6D"/>
    <w:multiLevelType w:val="hybridMultilevel"/>
    <w:tmpl w:val="8304AC8E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8510A"/>
    <w:multiLevelType w:val="hybridMultilevel"/>
    <w:tmpl w:val="4E847A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D91AEA"/>
    <w:multiLevelType w:val="hybridMultilevel"/>
    <w:tmpl w:val="5CF82612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10AB9"/>
    <w:multiLevelType w:val="hybridMultilevel"/>
    <w:tmpl w:val="0E9860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725220">
    <w:abstractNumId w:val="31"/>
  </w:num>
  <w:num w:numId="2" w16cid:durableId="632952354">
    <w:abstractNumId w:val="26"/>
  </w:num>
  <w:num w:numId="3" w16cid:durableId="1673020394">
    <w:abstractNumId w:val="32"/>
  </w:num>
  <w:num w:numId="4" w16cid:durableId="1572882751">
    <w:abstractNumId w:val="8"/>
  </w:num>
  <w:num w:numId="5" w16cid:durableId="1740975731">
    <w:abstractNumId w:val="3"/>
  </w:num>
  <w:num w:numId="6" w16cid:durableId="1278020811">
    <w:abstractNumId w:val="2"/>
  </w:num>
  <w:num w:numId="7" w16cid:durableId="1784613464">
    <w:abstractNumId w:val="1"/>
  </w:num>
  <w:num w:numId="8" w16cid:durableId="1806190931">
    <w:abstractNumId w:val="0"/>
  </w:num>
  <w:num w:numId="9" w16cid:durableId="1228489460">
    <w:abstractNumId w:val="26"/>
  </w:num>
  <w:num w:numId="10" w16cid:durableId="252280365">
    <w:abstractNumId w:val="35"/>
  </w:num>
  <w:num w:numId="11" w16cid:durableId="1463763695">
    <w:abstractNumId w:val="20"/>
  </w:num>
  <w:num w:numId="12" w16cid:durableId="1685787789">
    <w:abstractNumId w:val="33"/>
  </w:num>
  <w:num w:numId="13" w16cid:durableId="1629893258">
    <w:abstractNumId w:val="28"/>
  </w:num>
  <w:num w:numId="14" w16cid:durableId="115804174">
    <w:abstractNumId w:val="16"/>
  </w:num>
  <w:num w:numId="15" w16cid:durableId="1922176830">
    <w:abstractNumId w:val="22"/>
  </w:num>
  <w:num w:numId="16" w16cid:durableId="1376588817">
    <w:abstractNumId w:val="37"/>
  </w:num>
  <w:num w:numId="17" w16cid:durableId="181824963">
    <w:abstractNumId w:val="21"/>
  </w:num>
  <w:num w:numId="18" w16cid:durableId="2057654211">
    <w:abstractNumId w:val="10"/>
  </w:num>
  <w:num w:numId="19" w16cid:durableId="1053969413">
    <w:abstractNumId w:val="17"/>
  </w:num>
  <w:num w:numId="20" w16cid:durableId="1701121392">
    <w:abstractNumId w:val="13"/>
  </w:num>
  <w:num w:numId="21" w16cid:durableId="434641982">
    <w:abstractNumId w:val="25"/>
  </w:num>
  <w:num w:numId="22" w16cid:durableId="914440033">
    <w:abstractNumId w:val="24"/>
  </w:num>
  <w:num w:numId="23" w16cid:durableId="1060327146">
    <w:abstractNumId w:val="14"/>
  </w:num>
  <w:num w:numId="24" w16cid:durableId="445740465">
    <w:abstractNumId w:val="29"/>
  </w:num>
  <w:num w:numId="25" w16cid:durableId="1620722120">
    <w:abstractNumId w:val="23"/>
  </w:num>
  <w:num w:numId="26" w16cid:durableId="945117819">
    <w:abstractNumId w:val="27"/>
  </w:num>
  <w:num w:numId="27" w16cid:durableId="1940797779">
    <w:abstractNumId w:val="34"/>
  </w:num>
  <w:num w:numId="28" w16cid:durableId="627901589">
    <w:abstractNumId w:val="36"/>
  </w:num>
  <w:num w:numId="29" w16cid:durableId="881329586">
    <w:abstractNumId w:val="18"/>
  </w:num>
  <w:num w:numId="30" w16cid:durableId="1247954706">
    <w:abstractNumId w:val="15"/>
  </w:num>
  <w:num w:numId="31" w16cid:durableId="1812626350">
    <w:abstractNumId w:val="12"/>
  </w:num>
  <w:num w:numId="32" w16cid:durableId="160629093">
    <w:abstractNumId w:val="19"/>
  </w:num>
  <w:num w:numId="33" w16cid:durableId="1095593743">
    <w:abstractNumId w:val="9"/>
  </w:num>
  <w:num w:numId="34" w16cid:durableId="1529873419">
    <w:abstractNumId w:val="7"/>
  </w:num>
  <w:num w:numId="35" w16cid:durableId="1322810457">
    <w:abstractNumId w:val="6"/>
  </w:num>
  <w:num w:numId="36" w16cid:durableId="1080905795">
    <w:abstractNumId w:val="5"/>
  </w:num>
  <w:num w:numId="37" w16cid:durableId="1737359977">
    <w:abstractNumId w:val="4"/>
  </w:num>
  <w:num w:numId="38" w16cid:durableId="373234373">
    <w:abstractNumId w:val="30"/>
  </w:num>
  <w:num w:numId="39" w16cid:durableId="5340833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9687715">
    <w:abstractNumId w:val="0"/>
  </w:num>
  <w:num w:numId="42" w16cid:durableId="224681152">
    <w:abstractNumId w:val="0"/>
  </w:num>
  <w:num w:numId="43" w16cid:durableId="1000696865">
    <w:abstractNumId w:val="0"/>
  </w:num>
  <w:num w:numId="44" w16cid:durableId="2099057816">
    <w:abstractNumId w:val="0"/>
  </w:num>
  <w:num w:numId="45" w16cid:durableId="12728447">
    <w:abstractNumId w:val="0"/>
  </w:num>
  <w:num w:numId="46" w16cid:durableId="808858629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24"/>
    <w:rsid w:val="000106E0"/>
    <w:rsid w:val="000111BB"/>
    <w:rsid w:val="00022C0F"/>
    <w:rsid w:val="000272F6"/>
    <w:rsid w:val="00037AC4"/>
    <w:rsid w:val="000423BF"/>
    <w:rsid w:val="00046DF4"/>
    <w:rsid w:val="0007402A"/>
    <w:rsid w:val="000751D6"/>
    <w:rsid w:val="00075B6C"/>
    <w:rsid w:val="0009306E"/>
    <w:rsid w:val="000A4945"/>
    <w:rsid w:val="000B31E1"/>
    <w:rsid w:val="000C7E42"/>
    <w:rsid w:val="000D0D7E"/>
    <w:rsid w:val="000F05B4"/>
    <w:rsid w:val="001028FB"/>
    <w:rsid w:val="001057E1"/>
    <w:rsid w:val="0011356B"/>
    <w:rsid w:val="0011720C"/>
    <w:rsid w:val="00124858"/>
    <w:rsid w:val="0012748D"/>
    <w:rsid w:val="0013337F"/>
    <w:rsid w:val="001339E3"/>
    <w:rsid w:val="001626BA"/>
    <w:rsid w:val="00164C0C"/>
    <w:rsid w:val="00182B84"/>
    <w:rsid w:val="001877FE"/>
    <w:rsid w:val="001946F2"/>
    <w:rsid w:val="001974C5"/>
    <w:rsid w:val="001A5625"/>
    <w:rsid w:val="001B5B61"/>
    <w:rsid w:val="001C61BF"/>
    <w:rsid w:val="001D0F5C"/>
    <w:rsid w:val="001E291F"/>
    <w:rsid w:val="001F2BAB"/>
    <w:rsid w:val="00233408"/>
    <w:rsid w:val="0023608D"/>
    <w:rsid w:val="002370DD"/>
    <w:rsid w:val="00237417"/>
    <w:rsid w:val="002412B7"/>
    <w:rsid w:val="00253F62"/>
    <w:rsid w:val="00254061"/>
    <w:rsid w:val="00266F24"/>
    <w:rsid w:val="0027067B"/>
    <w:rsid w:val="00274D15"/>
    <w:rsid w:val="002A15FB"/>
    <w:rsid w:val="002A6940"/>
    <w:rsid w:val="002B24AA"/>
    <w:rsid w:val="002D27BD"/>
    <w:rsid w:val="002D2BAD"/>
    <w:rsid w:val="002D72CA"/>
    <w:rsid w:val="002E249B"/>
    <w:rsid w:val="002E7873"/>
    <w:rsid w:val="002F3A99"/>
    <w:rsid w:val="002F6CE8"/>
    <w:rsid w:val="00303CB0"/>
    <w:rsid w:val="00304385"/>
    <w:rsid w:val="00311BE2"/>
    <w:rsid w:val="00313C58"/>
    <w:rsid w:val="00317109"/>
    <w:rsid w:val="00320249"/>
    <w:rsid w:val="003567C2"/>
    <w:rsid w:val="003572B4"/>
    <w:rsid w:val="003616BF"/>
    <w:rsid w:val="00371F2B"/>
    <w:rsid w:val="00377FF5"/>
    <w:rsid w:val="00383F10"/>
    <w:rsid w:val="003C1CB8"/>
    <w:rsid w:val="003C3BC4"/>
    <w:rsid w:val="003D0CA2"/>
    <w:rsid w:val="003E2B84"/>
    <w:rsid w:val="00400516"/>
    <w:rsid w:val="004116F2"/>
    <w:rsid w:val="00422710"/>
    <w:rsid w:val="00444CC2"/>
    <w:rsid w:val="004465D5"/>
    <w:rsid w:val="004551EC"/>
    <w:rsid w:val="00467032"/>
    <w:rsid w:val="0046754A"/>
    <w:rsid w:val="004836C3"/>
    <w:rsid w:val="004A31FF"/>
    <w:rsid w:val="004F203A"/>
    <w:rsid w:val="00512FF5"/>
    <w:rsid w:val="0053233A"/>
    <w:rsid w:val="005336B8"/>
    <w:rsid w:val="0055639F"/>
    <w:rsid w:val="0055740E"/>
    <w:rsid w:val="00561164"/>
    <w:rsid w:val="00563EFE"/>
    <w:rsid w:val="005B04B9"/>
    <w:rsid w:val="005B68C7"/>
    <w:rsid w:val="005B7054"/>
    <w:rsid w:val="005C3929"/>
    <w:rsid w:val="005D0152"/>
    <w:rsid w:val="005D5981"/>
    <w:rsid w:val="005F30CB"/>
    <w:rsid w:val="00612644"/>
    <w:rsid w:val="00622013"/>
    <w:rsid w:val="00624929"/>
    <w:rsid w:val="00626D53"/>
    <w:rsid w:val="00667FFA"/>
    <w:rsid w:val="00674CCD"/>
    <w:rsid w:val="006847F5"/>
    <w:rsid w:val="0068777F"/>
    <w:rsid w:val="006A18DC"/>
    <w:rsid w:val="006D6742"/>
    <w:rsid w:val="006E3654"/>
    <w:rsid w:val="006E5B70"/>
    <w:rsid w:val="006F5826"/>
    <w:rsid w:val="00700181"/>
    <w:rsid w:val="00703C1D"/>
    <w:rsid w:val="007141CF"/>
    <w:rsid w:val="00714562"/>
    <w:rsid w:val="0071471C"/>
    <w:rsid w:val="00723464"/>
    <w:rsid w:val="00745146"/>
    <w:rsid w:val="0074635B"/>
    <w:rsid w:val="007577E3"/>
    <w:rsid w:val="00760DB3"/>
    <w:rsid w:val="00767204"/>
    <w:rsid w:val="00785369"/>
    <w:rsid w:val="007A2688"/>
    <w:rsid w:val="007B33F1"/>
    <w:rsid w:val="007C5ABC"/>
    <w:rsid w:val="007C79F0"/>
    <w:rsid w:val="007E6507"/>
    <w:rsid w:val="007F2B8E"/>
    <w:rsid w:val="007F2DB0"/>
    <w:rsid w:val="007F3D27"/>
    <w:rsid w:val="00801CBB"/>
    <w:rsid w:val="00807247"/>
    <w:rsid w:val="0083029B"/>
    <w:rsid w:val="008321EB"/>
    <w:rsid w:val="00833AE5"/>
    <w:rsid w:val="0084058A"/>
    <w:rsid w:val="00840C2B"/>
    <w:rsid w:val="00850889"/>
    <w:rsid w:val="00860789"/>
    <w:rsid w:val="00865878"/>
    <w:rsid w:val="008739FD"/>
    <w:rsid w:val="00886F01"/>
    <w:rsid w:val="008A7BB6"/>
    <w:rsid w:val="008B181A"/>
    <w:rsid w:val="008E372C"/>
    <w:rsid w:val="008E7C30"/>
    <w:rsid w:val="008F2A64"/>
    <w:rsid w:val="009030FF"/>
    <w:rsid w:val="00920FD4"/>
    <w:rsid w:val="0093442C"/>
    <w:rsid w:val="00936201"/>
    <w:rsid w:val="00947C09"/>
    <w:rsid w:val="009717D6"/>
    <w:rsid w:val="00971910"/>
    <w:rsid w:val="009864D3"/>
    <w:rsid w:val="009A6F54"/>
    <w:rsid w:val="009A7E67"/>
    <w:rsid w:val="009B0823"/>
    <w:rsid w:val="009D5A81"/>
    <w:rsid w:val="00A14BF5"/>
    <w:rsid w:val="00A21459"/>
    <w:rsid w:val="00A50AC6"/>
    <w:rsid w:val="00A53DCE"/>
    <w:rsid w:val="00A6057A"/>
    <w:rsid w:val="00A74017"/>
    <w:rsid w:val="00A74FE0"/>
    <w:rsid w:val="00A77005"/>
    <w:rsid w:val="00A82A02"/>
    <w:rsid w:val="00A97A1E"/>
    <w:rsid w:val="00AA332C"/>
    <w:rsid w:val="00AA732E"/>
    <w:rsid w:val="00AC24C7"/>
    <w:rsid w:val="00AC27F8"/>
    <w:rsid w:val="00AC791D"/>
    <w:rsid w:val="00AD0A4D"/>
    <w:rsid w:val="00AD4C72"/>
    <w:rsid w:val="00AE20ED"/>
    <w:rsid w:val="00AE2AEE"/>
    <w:rsid w:val="00B105E2"/>
    <w:rsid w:val="00B1394B"/>
    <w:rsid w:val="00B15E3B"/>
    <w:rsid w:val="00B230EC"/>
    <w:rsid w:val="00B231B5"/>
    <w:rsid w:val="00B308EA"/>
    <w:rsid w:val="00B37E7E"/>
    <w:rsid w:val="00B50DC4"/>
    <w:rsid w:val="00B54D21"/>
    <w:rsid w:val="00B56EDC"/>
    <w:rsid w:val="00B6027A"/>
    <w:rsid w:val="00B67244"/>
    <w:rsid w:val="00B67C16"/>
    <w:rsid w:val="00BB1F84"/>
    <w:rsid w:val="00BE5468"/>
    <w:rsid w:val="00C0223E"/>
    <w:rsid w:val="00C0594C"/>
    <w:rsid w:val="00C11EAC"/>
    <w:rsid w:val="00C125DF"/>
    <w:rsid w:val="00C17F4F"/>
    <w:rsid w:val="00C305D7"/>
    <w:rsid w:val="00C30F2A"/>
    <w:rsid w:val="00C43456"/>
    <w:rsid w:val="00C50D4E"/>
    <w:rsid w:val="00C65C0C"/>
    <w:rsid w:val="00C808FC"/>
    <w:rsid w:val="00CC5DCA"/>
    <w:rsid w:val="00CD7D97"/>
    <w:rsid w:val="00CE3EE6"/>
    <w:rsid w:val="00CE4BA1"/>
    <w:rsid w:val="00CE4C97"/>
    <w:rsid w:val="00D000C7"/>
    <w:rsid w:val="00D52A9D"/>
    <w:rsid w:val="00D55AAD"/>
    <w:rsid w:val="00D73B25"/>
    <w:rsid w:val="00D747AE"/>
    <w:rsid w:val="00D9226C"/>
    <w:rsid w:val="00D95251"/>
    <w:rsid w:val="00DA20BD"/>
    <w:rsid w:val="00DE50DB"/>
    <w:rsid w:val="00DF6AE1"/>
    <w:rsid w:val="00E30216"/>
    <w:rsid w:val="00E46FD5"/>
    <w:rsid w:val="00E514DA"/>
    <w:rsid w:val="00E544BB"/>
    <w:rsid w:val="00E56545"/>
    <w:rsid w:val="00E67031"/>
    <w:rsid w:val="00E744CC"/>
    <w:rsid w:val="00E85004"/>
    <w:rsid w:val="00EA5D4F"/>
    <w:rsid w:val="00EB6C56"/>
    <w:rsid w:val="00EB6F21"/>
    <w:rsid w:val="00EB7E76"/>
    <w:rsid w:val="00ED54E0"/>
    <w:rsid w:val="00EE3B8B"/>
    <w:rsid w:val="00EE40F8"/>
    <w:rsid w:val="00EE5069"/>
    <w:rsid w:val="00EF44D2"/>
    <w:rsid w:val="00F01C13"/>
    <w:rsid w:val="00F03D75"/>
    <w:rsid w:val="00F04D56"/>
    <w:rsid w:val="00F057FC"/>
    <w:rsid w:val="00F24784"/>
    <w:rsid w:val="00F32397"/>
    <w:rsid w:val="00F33425"/>
    <w:rsid w:val="00F40595"/>
    <w:rsid w:val="00F50401"/>
    <w:rsid w:val="00F51C50"/>
    <w:rsid w:val="00F63A5D"/>
    <w:rsid w:val="00F70445"/>
    <w:rsid w:val="00F90628"/>
    <w:rsid w:val="00F95624"/>
    <w:rsid w:val="00F96CE0"/>
    <w:rsid w:val="00FA2517"/>
    <w:rsid w:val="00FA5EBC"/>
    <w:rsid w:val="00FB1EEA"/>
    <w:rsid w:val="00FC323B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A701B7"/>
  <w15:docId w15:val="{E70A94A2-0B1A-4384-AF19-9F4DBD5C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semiHidden="1" w:uiPriority="2" w:unhideWhenUsed="1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2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C3929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C3929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C3929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C3929"/>
    <w:pPr>
      <w:keepNext/>
      <w:keepLines/>
      <w:numPr>
        <w:ilvl w:val="3"/>
        <w:numId w:val="6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C3929"/>
    <w:pPr>
      <w:keepNext/>
      <w:keepLines/>
      <w:numPr>
        <w:ilvl w:val="4"/>
        <w:numId w:val="6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C3929"/>
    <w:pPr>
      <w:keepNext/>
      <w:keepLines/>
      <w:numPr>
        <w:ilvl w:val="5"/>
        <w:numId w:val="6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C392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C392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C392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C392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5C392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5C392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5C392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5C392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5C392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5C392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5C392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5C392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5C392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C392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5C3929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C392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5C3929"/>
    <w:pPr>
      <w:numPr>
        <w:ilvl w:val="7"/>
        <w:numId w:val="6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C392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5C3929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C392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5C3929"/>
    <w:pPr>
      <w:numPr>
        <w:numId w:val="1"/>
      </w:numPr>
    </w:pPr>
  </w:style>
  <w:style w:type="paragraph" w:styleId="ListBullet">
    <w:name w:val="List Bullet"/>
    <w:basedOn w:val="Normal"/>
    <w:uiPriority w:val="1"/>
    <w:rsid w:val="005C3929"/>
    <w:pPr>
      <w:numPr>
        <w:numId w:val="8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C3929"/>
    <w:pPr>
      <w:numPr>
        <w:ilvl w:val="1"/>
        <w:numId w:val="8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C3929"/>
    <w:pPr>
      <w:numPr>
        <w:ilvl w:val="2"/>
        <w:numId w:val="8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C3929"/>
    <w:pPr>
      <w:numPr>
        <w:ilvl w:val="3"/>
        <w:numId w:val="8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C3929"/>
    <w:pPr>
      <w:numPr>
        <w:ilvl w:val="4"/>
        <w:numId w:val="8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5C3929"/>
    <w:pPr>
      <w:numPr>
        <w:numId w:val="2"/>
      </w:numPr>
    </w:pPr>
  </w:style>
  <w:style w:type="paragraph" w:customStyle="1" w:styleId="Answer">
    <w:name w:val="Answer"/>
    <w:basedOn w:val="Normal"/>
    <w:link w:val="AnswerChar"/>
    <w:uiPriority w:val="6"/>
    <w:qFormat/>
    <w:rsid w:val="005C392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C392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5C392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C392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5C392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C392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5C3929"/>
    <w:rPr>
      <w:szCs w:val="20"/>
    </w:rPr>
  </w:style>
  <w:style w:type="character" w:customStyle="1" w:styleId="EndnoteTextChar">
    <w:name w:val="Endnote Text Char"/>
    <w:link w:val="EndnoteText"/>
    <w:uiPriority w:val="49"/>
    <w:rsid w:val="005C392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5C392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C392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5C392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C392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C3929"/>
    <w:pPr>
      <w:ind w:left="567" w:right="567" w:firstLine="0"/>
    </w:pPr>
  </w:style>
  <w:style w:type="character" w:styleId="FootnoteReference">
    <w:name w:val="footnote reference"/>
    <w:uiPriority w:val="5"/>
    <w:rsid w:val="005C392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5C392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C392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5C392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C392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5C392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C392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C392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C392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C392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5C3929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3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2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5C392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C392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5C392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C392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C3929"/>
    <w:pPr>
      <w:numPr>
        <w:numId w:val="3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5C392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5C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C3929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5C392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5C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C392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C392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5C3929"/>
  </w:style>
  <w:style w:type="paragraph" w:styleId="BlockText">
    <w:name w:val="Block Text"/>
    <w:basedOn w:val="Normal"/>
    <w:uiPriority w:val="99"/>
    <w:semiHidden/>
    <w:unhideWhenUsed/>
    <w:rsid w:val="005C392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392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392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39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392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392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392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39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392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39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392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5C392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5C392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392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5C392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5C3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92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3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392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3929"/>
  </w:style>
  <w:style w:type="character" w:customStyle="1" w:styleId="DateChar">
    <w:name w:val="Date Char"/>
    <w:basedOn w:val="DefaultParagraphFont"/>
    <w:link w:val="Date"/>
    <w:uiPriority w:val="99"/>
    <w:semiHidden/>
    <w:rsid w:val="005C392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39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392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392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392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5C392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5C392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C392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C392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5C392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392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392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5C392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5C392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5C392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5C392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92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92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5C392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5C392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5C392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5C392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C392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C392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C392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C392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C392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C392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C392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C392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392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C392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C39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C392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5C392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5C3929"/>
    <w:rPr>
      <w:lang w:val="es-ES"/>
    </w:rPr>
  </w:style>
  <w:style w:type="paragraph" w:styleId="List">
    <w:name w:val="List"/>
    <w:basedOn w:val="Normal"/>
    <w:uiPriority w:val="99"/>
    <w:semiHidden/>
    <w:unhideWhenUsed/>
    <w:rsid w:val="005C392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C392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C392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C392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C392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C392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392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392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392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392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C3929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C3929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C392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C392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C392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C39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392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39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39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5C392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C392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392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392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392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5C392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5C392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5C392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392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C39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5C392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392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392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392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392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5C392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5C392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5C392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5C39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5C3929"/>
    <w:pPr>
      <w:spacing w:after="240"/>
      <w:jc w:val="center"/>
    </w:pPr>
    <w:rPr>
      <w:rFonts w:eastAsia="Calibri" w:cs="Times New Roman"/>
      <w:color w:val="006283"/>
    </w:rPr>
  </w:style>
  <w:style w:type="table" w:customStyle="1" w:styleId="TableGrid1">
    <w:name w:val="Table Grid1"/>
    <w:basedOn w:val="TableNormal"/>
    <w:next w:val="TableGrid"/>
    <w:uiPriority w:val="59"/>
    <w:rsid w:val="001A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2710"/>
    <w:pPr>
      <w:spacing w:after="0" w:line="240" w:lineRule="auto"/>
    </w:pPr>
    <w:rPr>
      <w:rFonts w:ascii="Verdana" w:hAnsi="Verdana"/>
      <w:sz w:val="18"/>
    </w:rPr>
  </w:style>
  <w:style w:type="table" w:styleId="ColorfulGrid">
    <w:name w:val="Colorful Grid"/>
    <w:basedOn w:val="TableNormal"/>
    <w:uiPriority w:val="73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9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5C392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C39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C39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C39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C392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C39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C392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C39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C39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C39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C392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C39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C392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C392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39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39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39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39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392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39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392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C39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39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C39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39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C392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C39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C392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C39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C39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C39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C392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C39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C392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39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39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39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C392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9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5C39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5C39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5C3929"/>
    <w:rPr>
      <w:u w:val="dotted"/>
      <w:lang w:val="es-ES"/>
    </w:rPr>
  </w:style>
  <w:style w:type="character" w:styleId="SmartLink">
    <w:name w:val="Smart Link"/>
    <w:basedOn w:val="DefaultParagraphFont"/>
    <w:uiPriority w:val="99"/>
    <w:semiHidden/>
    <w:unhideWhenUsed/>
    <w:rsid w:val="005C3929"/>
    <w:rPr>
      <w:color w:val="0000FF"/>
      <w:u w:val="single"/>
      <w:shd w:val="clear" w:color="auto" w:fill="F3F2F1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5C392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392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392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392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392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392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392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5C3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392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392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C3929"/>
    <w:rPr>
      <w:color w:val="605E5C"/>
      <w:shd w:val="clear" w:color="auto" w:fill="E1DFDD"/>
      <w:lang w:val="es-ES"/>
    </w:rPr>
  </w:style>
  <w:style w:type="paragraph" w:customStyle="1" w:styleId="Query">
    <w:name w:val="Query"/>
    <w:qFormat/>
    <w:rsid w:val="005C3929"/>
    <w:pPr>
      <w:numPr>
        <w:numId w:val="40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5C3929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chk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187694c9-f705-4522-94d2-eb2ad14961f7</TitusGUID>
  <TitusMetadata xmlns="">eyJucyI6Imh0dHA6XC9cL3d3dy50aXR1cy5jb21cL25zXC9Xb3JsZCBUcmFkZSBPcmdhbml6YXRpb24iLCJwcm9wcyI6W3sibiI6IldUT0NMQVNTSUZJQ0FUSU9OIiwidmFscyI6W3sidmFsdWUiOiJJTlRFUk5BTCJ9XX1dfQ==</TitusMetadata>
</titus>
</file>

<file path=customXml/itemProps1.xml><?xml version="1.0" encoding="utf-8"?>
<ds:datastoreItem xmlns:ds="http://schemas.openxmlformats.org/officeDocument/2006/customXml" ds:itemID="{017718B5-1E59-4290-9FFF-A7BE761FC3E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OMC - WTO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 Boghossian, Anoush</dc:creator>
  <cp:keywords/>
  <dc:description>LDSD - DTU</dc:description>
  <cp:lastModifiedBy>Kirschke, Franziska</cp:lastModifiedBy>
  <cp:revision>2</cp:revision>
  <cp:lastPrinted>2023-07-07T11:55:00Z</cp:lastPrinted>
  <dcterms:created xsi:type="dcterms:W3CDTF">2024-01-24T09:15:00Z</dcterms:created>
  <dcterms:modified xsi:type="dcterms:W3CDTF">2024-01-24T09:15:00Z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187694c9-f705-4522-94d2-eb2ad14961f7</vt:lpwstr>
  </property>
  <property fmtid="{D5CDD505-2E9C-101B-9397-08002B2CF9AE}" pid="3" name="WTOCLASSIFICATION">
    <vt:lpwstr>INTERNAL</vt:lpwstr>
  </property>
</Properties>
</file>