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3DD5" w14:textId="77777777" w:rsidR="00AA16F3" w:rsidRDefault="00AA16F3" w:rsidP="00AA16F3">
      <w:pPr>
        <w:pStyle w:val="Title"/>
        <w:rPr>
          <w:lang w:val="es-ES"/>
        </w:rPr>
      </w:pPr>
      <w:r w:rsidRPr="00AA16F3">
        <w:rPr>
          <w:lang w:val="es-ES"/>
        </w:rPr>
        <w:t>Taller Nacional sobre Solución de Diferencias</w:t>
      </w:r>
    </w:p>
    <w:p w14:paraId="226EB6DB" w14:textId="1B795B3F" w:rsidR="00AA16F3" w:rsidRPr="00AA16F3" w:rsidRDefault="00AA16F3" w:rsidP="00AA16F3">
      <w:pPr>
        <w:pStyle w:val="Title2"/>
        <w:rPr>
          <w:lang w:val="es-ES"/>
        </w:rPr>
      </w:pPr>
      <w:r w:rsidRPr="00AA16F3">
        <w:rPr>
          <w:lang w:val="es-ES"/>
        </w:rPr>
        <w:t>Lima, Perú, del 23 al 24 de marzo de 2026</w:t>
      </w:r>
    </w:p>
    <w:p w14:paraId="0C69AAE8" w14:textId="77777777" w:rsidR="00AA16F3" w:rsidRPr="00AA16F3" w:rsidRDefault="00AA16F3" w:rsidP="00AA16F3">
      <w:pPr>
        <w:rPr>
          <w:lang w:val="es-ES"/>
        </w:rPr>
      </w:pPr>
      <w:r w:rsidRPr="00AA16F3">
        <w:rPr>
          <w:b/>
          <w:bCs/>
          <w:lang w:val="es-ES"/>
        </w:rPr>
        <w:t>Facilitación:</w:t>
      </w:r>
      <w:r w:rsidRPr="00AA16F3">
        <w:rPr>
          <w:lang w:val="es-ES"/>
        </w:rPr>
        <w:t xml:space="preserve"> María J. Pereyra, Consejera Principal, División de Asuntos Jurídicos, Organización Mundial del Comercio (OMC).</w:t>
      </w:r>
    </w:p>
    <w:p w14:paraId="4CCE345D" w14:textId="19AE4439" w:rsidR="00AA16F3" w:rsidRDefault="00AA16F3" w:rsidP="00AA16F3"/>
    <w:p w14:paraId="2ACC9B4B" w14:textId="77777777" w:rsidR="00AA16F3" w:rsidRPr="00AA16F3" w:rsidRDefault="00AA16F3" w:rsidP="00AA16F3"/>
    <w:p w14:paraId="53B3F2A6" w14:textId="198A695A" w:rsidR="00AA16F3" w:rsidRPr="00AA16F3" w:rsidRDefault="00AA16F3" w:rsidP="00AA16F3">
      <w:pPr>
        <w:pStyle w:val="Heading1"/>
        <w:rPr>
          <w:lang w:val="es-ES"/>
        </w:rPr>
      </w:pPr>
      <w:r w:rsidRPr="00AA16F3">
        <w:t>Sinopsis</w:t>
      </w:r>
    </w:p>
    <w:p w14:paraId="7AF2D519" w14:textId="77777777" w:rsidR="00A00EBB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 xml:space="preserve">Este taller nacional de dos días ofrece una actualización sustantiva y procedimental del sistema de solución de diferencias de la OMC, con un énfasis marcado en el trabajo que precede a la activación formal del mecanismo y </w:t>
      </w:r>
      <w:r w:rsidR="00A00EBB">
        <w:rPr>
          <w:lang w:val="es-ES"/>
        </w:rPr>
        <w:t>a</w:t>
      </w:r>
      <w:r w:rsidRPr="00AA16F3">
        <w:rPr>
          <w:lang w:val="es-ES"/>
        </w:rPr>
        <w:t xml:space="preserve"> la práctica ante los </w:t>
      </w:r>
      <w:r w:rsidR="00A00EBB">
        <w:rPr>
          <w:lang w:val="es-ES"/>
        </w:rPr>
        <w:t>órganos adjudicativos de la OMC</w:t>
      </w:r>
      <w:r w:rsidRPr="00AA16F3">
        <w:rPr>
          <w:lang w:val="es-ES"/>
        </w:rPr>
        <w:t xml:space="preserve">. </w:t>
      </w:r>
    </w:p>
    <w:p w14:paraId="42545811" w14:textId="042E5D84" w:rsid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La propuesta combina explicación jurídica rigurosa, discusión guiada y ejercicios aplicados de identificación de cuestiones jurídicas, con el fin de que las</w:t>
      </w:r>
      <w:r w:rsidR="00A00EBB">
        <w:rPr>
          <w:lang w:val="es-ES"/>
        </w:rPr>
        <w:t>/l</w:t>
      </w:r>
      <w:r w:rsidRPr="00AA16F3">
        <w:rPr>
          <w:lang w:val="es-ES"/>
        </w:rPr>
        <w:t>os participantes refuercen su capacidad para evaluar medidas, formular alegaciones, ordenar hechos y prueba, y comprender el funcionamiento práctico del procedimiento, incluido el modo en que se construye el expediente de la diferencia mediante comunicaciones y actuaciones procesales.</w:t>
      </w:r>
    </w:p>
    <w:p w14:paraId="38C35DCA" w14:textId="77777777" w:rsidR="00AA16F3" w:rsidRPr="00AA16F3" w:rsidRDefault="00AA16F3" w:rsidP="00AA16F3">
      <w:pPr>
        <w:pStyle w:val="Heading1"/>
      </w:pPr>
      <w:r w:rsidRPr="00AA16F3">
        <w:t>Objetivo</w:t>
      </w:r>
    </w:p>
    <w:p w14:paraId="39F1F183" w14:textId="192B07A0" w:rsid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El taller tiene por objeto fortalecer la capacidad de las</w:t>
      </w:r>
      <w:r w:rsidR="00A00EBB">
        <w:rPr>
          <w:lang w:val="es-ES"/>
        </w:rPr>
        <w:t>/</w:t>
      </w:r>
      <w:r w:rsidRPr="00AA16F3">
        <w:rPr>
          <w:lang w:val="es-ES"/>
        </w:rPr>
        <w:t xml:space="preserve">los participantes para operar con solvencia las disposiciones pertinentes del Entendimiento relativo a las normas y procedimientos por los que se rige la solución de diferencias (ESD), comprendiendo su lógica, sus exigencias de precisión jurídica y su práctica procedimental. El foco estará en la preparación del caso y la fase de consultas, la jurisdicción y delimitación del litigio ante el Grupo Especial, la conducción del procedimiento y la elaboración de comunicaciones </w:t>
      </w:r>
      <w:r w:rsidR="00A00EBB">
        <w:rPr>
          <w:lang w:val="es-ES"/>
        </w:rPr>
        <w:t xml:space="preserve">e intervenciones orales </w:t>
      </w:r>
      <w:r w:rsidRPr="00AA16F3">
        <w:rPr>
          <w:lang w:val="es-ES"/>
        </w:rPr>
        <w:t>persuasivas, así como en el arbitraje de</w:t>
      </w:r>
      <w:r w:rsidR="00A00EBB">
        <w:rPr>
          <w:lang w:val="es-ES"/>
        </w:rPr>
        <w:t xml:space="preserve"> apelación al amparo de</w:t>
      </w:r>
      <w:r w:rsidRPr="00AA16F3">
        <w:rPr>
          <w:lang w:val="es-ES"/>
        </w:rPr>
        <w:t xml:space="preserve">l artículo 25, incluido el PAMAP [MPIA], y en la actualidad y las negociaciones </w:t>
      </w:r>
      <w:r w:rsidR="00A00EBB">
        <w:rPr>
          <w:lang w:val="es-ES"/>
        </w:rPr>
        <w:t>sobre la</w:t>
      </w:r>
      <w:r w:rsidRPr="00AA16F3">
        <w:rPr>
          <w:lang w:val="es-ES"/>
        </w:rPr>
        <w:t xml:space="preserve"> reforma del sistema.</w:t>
      </w:r>
    </w:p>
    <w:p w14:paraId="11CB1458" w14:textId="77777777" w:rsidR="00AA16F3" w:rsidRPr="00AA16F3" w:rsidRDefault="00AA16F3" w:rsidP="00AA16F3">
      <w:pPr>
        <w:pStyle w:val="Heading1"/>
      </w:pPr>
      <w:r w:rsidRPr="00AA16F3">
        <w:t>Enfoque metodológico</w:t>
      </w:r>
    </w:p>
    <w:p w14:paraId="36D84112" w14:textId="0390457D" w:rsid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 xml:space="preserve">Las sesiones combinarán exposiciones breves con ejercicios </w:t>
      </w:r>
      <w:r w:rsidR="00BE126A">
        <w:rPr>
          <w:lang w:val="es-ES"/>
        </w:rPr>
        <w:t>prácticos</w:t>
      </w:r>
      <w:r w:rsidRPr="00AA16F3">
        <w:rPr>
          <w:lang w:val="es-ES"/>
        </w:rPr>
        <w:t>. Se trabajará con un caso modular que acompañará el taller para facilitar la transición desde los hechos hacia la norma aplicable, los elementos jurídicos relevantes y la identificación de prueba. La metodología persigue, ante todo, consolidar una disciplina de análisis comparable a la que subyace al razonamiento decisorio de los Grupos Especiales.</w:t>
      </w:r>
    </w:p>
    <w:p w14:paraId="74CA25FC" w14:textId="23B7AD46" w:rsidR="00AA16F3" w:rsidRPr="00AA16F3" w:rsidRDefault="00AA16F3" w:rsidP="00AA16F3">
      <w:pPr>
        <w:pStyle w:val="Heading1"/>
      </w:pPr>
      <w:r w:rsidRPr="00AA16F3">
        <w:t>Programa</w:t>
      </w:r>
      <w:r>
        <w:t xml:space="preserve"> provisional</w:t>
      </w:r>
    </w:p>
    <w:p w14:paraId="0A20362D" w14:textId="77777777" w:rsidR="00AA16F3" w:rsidRPr="00AA16F3" w:rsidRDefault="00AA16F3" w:rsidP="00AA16F3">
      <w:pPr>
        <w:pStyle w:val="Heading2"/>
      </w:pPr>
      <w:r w:rsidRPr="00AA16F3">
        <w:t>Día 1</w:t>
      </w:r>
    </w:p>
    <w:p w14:paraId="752A4ABC" w14:textId="77777777" w:rsidR="00AA16F3" w:rsidRDefault="00AA16F3" w:rsidP="00AA16F3">
      <w:pPr>
        <w:pStyle w:val="Heading3"/>
        <w:rPr>
          <w:lang w:val="es-ES"/>
        </w:rPr>
      </w:pPr>
      <w:r w:rsidRPr="00AA16F3">
        <w:rPr>
          <w:lang w:val="es-ES"/>
        </w:rPr>
        <w:t>Sesión 1. Situación actual del sistema y panorama general del procedimiento</w:t>
      </w:r>
    </w:p>
    <w:p w14:paraId="10CB191E" w14:textId="38B7FB67" w:rsidR="00AA16F3" w:rsidRP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La primera sesión situará el taller en la coyuntura contemporánea del sistema de solución de diferencias y ofrecerá una visión general de su arquitectura y secuencia básica. Se presentarán, con carácter introductorio, las etapas del procedimiento</w:t>
      </w:r>
      <w:r w:rsidR="00BE126A">
        <w:rPr>
          <w:lang w:val="es-ES"/>
        </w:rPr>
        <w:t>:</w:t>
      </w:r>
      <w:r w:rsidR="00BE126A" w:rsidRPr="00AA16F3">
        <w:rPr>
          <w:lang w:val="es-ES"/>
        </w:rPr>
        <w:t xml:space="preserve"> </w:t>
      </w:r>
      <w:r w:rsidRPr="00AA16F3">
        <w:rPr>
          <w:lang w:val="es-ES"/>
        </w:rPr>
        <w:t>consultas, adjudicación ante el Grupo Especial, adopción y cumplimiento</w:t>
      </w:r>
      <w:r w:rsidR="00BE126A">
        <w:rPr>
          <w:lang w:val="es-ES"/>
        </w:rPr>
        <w:t>,</w:t>
      </w:r>
      <w:r w:rsidRPr="00AA16F3">
        <w:rPr>
          <w:lang w:val="es-ES"/>
        </w:rPr>
        <w:t xml:space="preserve"> y se ubicará el lugar que ocupa la revisión en el ciclo, sin entrar todavía en su mecánica. Este encuadre inicial permitirá unificar lenguaje y referencias para el trabajo posterior, y servirá de puente hacia el análisis aplicado de la preparación del caso y de la adjudicación.</w:t>
      </w:r>
    </w:p>
    <w:p w14:paraId="64A164CF" w14:textId="77777777" w:rsidR="00AA16F3" w:rsidRDefault="00AA16F3" w:rsidP="00AA16F3">
      <w:pPr>
        <w:rPr>
          <w:b/>
          <w:bCs/>
          <w:lang w:val="es-ES"/>
        </w:rPr>
      </w:pPr>
    </w:p>
    <w:p w14:paraId="452D7B14" w14:textId="77777777" w:rsidR="00AA16F3" w:rsidRDefault="00AA16F3" w:rsidP="00AA16F3">
      <w:pPr>
        <w:pStyle w:val="Heading3"/>
        <w:rPr>
          <w:lang w:val="es-ES"/>
        </w:rPr>
      </w:pPr>
      <w:r w:rsidRPr="00AA16F3">
        <w:rPr>
          <w:lang w:val="es-ES"/>
        </w:rPr>
        <w:lastRenderedPageBreak/>
        <w:t>Sesión 2. Preparación del caso y consultas: de la medida a las cuestiones jurídicas</w:t>
      </w:r>
      <w:r w:rsidRPr="00AA16F3">
        <w:rPr>
          <w:lang w:val="es-ES"/>
        </w:rPr>
        <w:br/>
      </w:r>
    </w:p>
    <w:p w14:paraId="5A8F5349" w14:textId="2FE96D43" w:rsidR="00AA16F3" w:rsidRP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Esta sesión abordará la fase pre</w:t>
      </w:r>
      <w:r w:rsidR="00A00EBB">
        <w:rPr>
          <w:lang w:val="es-ES"/>
        </w:rPr>
        <w:t>-</w:t>
      </w:r>
      <w:r w:rsidRPr="00AA16F3">
        <w:rPr>
          <w:lang w:val="es-ES"/>
        </w:rPr>
        <w:t xml:space="preserve">contenciosa como una etapa de construcción jurídica. A partir de un supuesto de trabajo, se examinará cómo identificar con precisión </w:t>
      </w:r>
      <w:r w:rsidR="00BE126A">
        <w:rPr>
          <w:lang w:val="es-ES"/>
        </w:rPr>
        <w:t xml:space="preserve">cada </w:t>
      </w:r>
      <w:r w:rsidRPr="00AA16F3">
        <w:rPr>
          <w:lang w:val="es-ES"/>
        </w:rPr>
        <w:t xml:space="preserve">medida pertinente y cómo caracterizarla jurídicamente, distinguiendo aquello que se impugna y el modo en que la medida opera en la práctica. </w:t>
      </w:r>
      <w:r w:rsidR="00BE126A" w:rsidRPr="00BE126A">
        <w:rPr>
          <w:lang w:val="es-ES"/>
        </w:rPr>
        <w:t>Sobre esa base, se expondrá un método de trabajo para la construcción del caso: partir de la norma aplicable, descomponerla en sus elementos y, a partir de ellos, identificar los hechos pertinentes y la prueba requerida para sostener alegaciones coherentes.</w:t>
      </w:r>
      <w:r w:rsidR="00BE126A">
        <w:rPr>
          <w:lang w:val="es-ES"/>
        </w:rPr>
        <w:t xml:space="preserve"> </w:t>
      </w:r>
      <w:r w:rsidRPr="00AA16F3">
        <w:rPr>
          <w:lang w:val="es-ES"/>
        </w:rPr>
        <w:t>Este enfoque se apoyará en ejercicios de identificación de cuestiones jurídicas, destinados a producir</w:t>
      </w:r>
      <w:r w:rsidR="00BE126A">
        <w:rPr>
          <w:lang w:val="es-ES"/>
        </w:rPr>
        <w:t xml:space="preserve"> </w:t>
      </w:r>
      <w:r w:rsidRPr="00AA16F3">
        <w:rPr>
          <w:lang w:val="es-ES"/>
        </w:rPr>
        <w:t>una matriz de alegaciones posibles, elementos a demostrar y necesidades probatorias, con reflexión sobre la suficiencia, la pertinencia y la consistencia del relato jurídico.</w:t>
      </w:r>
    </w:p>
    <w:p w14:paraId="2C7CC36E" w14:textId="77777777" w:rsidR="00AE451B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 xml:space="preserve">La sesión incorporará, además, un apartado sobre coordinación interinstitucional, centrado en los insumos habitualmente necesarios para sustentar el análisis y en la organización del flujo de información entre entidades. </w:t>
      </w:r>
    </w:p>
    <w:p w14:paraId="477B0AFC" w14:textId="50035FBD" w:rsid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Por último, se tratará la fase de consultas desde un ángulo práctico y sustantivo: su función en el sistema, la importancia de la precisión en la identificación de la medida y la utilidad de las consultas para clarificar hechos relevantes y perfilar el encuadre jurídico del desacuerdo.</w:t>
      </w:r>
    </w:p>
    <w:p w14:paraId="02EC227F" w14:textId="77777777" w:rsidR="00AA16F3" w:rsidRPr="00AA16F3" w:rsidRDefault="00AA16F3" w:rsidP="00AA16F3">
      <w:pPr>
        <w:rPr>
          <w:lang w:val="es-ES"/>
        </w:rPr>
      </w:pPr>
    </w:p>
    <w:p w14:paraId="1F633F91" w14:textId="77777777" w:rsidR="00FA2C99" w:rsidRDefault="00AA16F3" w:rsidP="00A00EBB">
      <w:pPr>
        <w:pStyle w:val="Heading3"/>
        <w:rPr>
          <w:lang w:val="es-ES"/>
        </w:rPr>
      </w:pPr>
      <w:r w:rsidRPr="00AA16F3">
        <w:rPr>
          <w:lang w:val="es-ES"/>
        </w:rPr>
        <w:t>Sesión 3. Adjudicación ante el Grupo Especial (I): ámbito y delimitación del litigio, jurisdicción y composició</w:t>
      </w:r>
      <w:r w:rsidR="00A00EBB">
        <w:rPr>
          <w:lang w:val="es-ES"/>
        </w:rPr>
        <w:t>n</w:t>
      </w:r>
    </w:p>
    <w:p w14:paraId="56613BDD" w14:textId="781B88EE" w:rsidR="00AA16F3" w:rsidRP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La tercera sesión abrirá la dimensión jurisdiccional del procedimiento, explicando cómo se define el ámbito del litigio y por qué esa delimitación es decisiva para el desarrollo de la</w:t>
      </w:r>
      <w:r w:rsidR="00744276">
        <w:rPr>
          <w:lang w:val="es-ES"/>
        </w:rPr>
        <w:t xml:space="preserve"> diferencia</w:t>
      </w:r>
      <w:r w:rsidRPr="00AA16F3">
        <w:rPr>
          <w:lang w:val="es-ES"/>
        </w:rPr>
        <w:t>. Se abordará el papel de la solicitud de establecimiento de un Grupo Especial y su conexión con la delimitación del asunto sometido a examen, poniendo el acento en la exigencia de precisión respecto de las medidas y en la exposición de los fundamentos de derecho. Se explicará asimismo la lógica del mandato del Grupo Especial y su relación con la seguridad jurídica y el debido proceso, así como las consecuencias prácticas de una redacción insuficiente o excesivamente amplia.</w:t>
      </w:r>
    </w:p>
    <w:p w14:paraId="4D01E1EB" w14:textId="77777777" w:rsidR="00744276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 xml:space="preserve">A continuación, se tratará la composición del Grupo Especial, su racionalidad institucional y consideraciones operativas relevantes para las delegaciones. </w:t>
      </w:r>
    </w:p>
    <w:p w14:paraId="6B4270B6" w14:textId="596DBF58" w:rsidR="00AA16F3" w:rsidRP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 xml:space="preserve">Al cierre de la sesión podrá distribuirse un ejercicio </w:t>
      </w:r>
      <w:r w:rsidR="00744276">
        <w:rPr>
          <w:lang w:val="es-ES"/>
        </w:rPr>
        <w:t>[</w:t>
      </w:r>
      <w:r w:rsidRPr="00AA16F3">
        <w:rPr>
          <w:lang w:val="es-ES"/>
        </w:rPr>
        <w:t>opcional</w:t>
      </w:r>
      <w:r w:rsidR="00744276">
        <w:rPr>
          <w:lang w:val="es-ES"/>
        </w:rPr>
        <w:t>]</w:t>
      </w:r>
      <w:r w:rsidRPr="00AA16F3">
        <w:rPr>
          <w:lang w:val="es-ES"/>
        </w:rPr>
        <w:t xml:space="preserve"> de redacción de una solicitud de establecimiento, a realizar entre el Día 1 y el Día 2, para su discusión en mesa redonda.</w:t>
      </w:r>
    </w:p>
    <w:p w14:paraId="72F1B5B7" w14:textId="77777777" w:rsidR="00AA16F3" w:rsidRPr="00744276" w:rsidRDefault="00AA16F3" w:rsidP="00AA16F3">
      <w:pPr>
        <w:rPr>
          <w:b/>
          <w:bCs/>
          <w:lang w:val="es-ES"/>
        </w:rPr>
      </w:pPr>
    </w:p>
    <w:p w14:paraId="472F1727" w14:textId="4A4923DD" w:rsidR="00AA16F3" w:rsidRPr="00AA16F3" w:rsidRDefault="00AA16F3" w:rsidP="00AA16F3">
      <w:pPr>
        <w:pStyle w:val="Heading2"/>
      </w:pPr>
      <w:r w:rsidRPr="00AA16F3">
        <w:t>Día 2</w:t>
      </w:r>
    </w:p>
    <w:p w14:paraId="0BE74CBE" w14:textId="0A8E62B4" w:rsidR="00AA16F3" w:rsidRDefault="00AA16F3" w:rsidP="00A00EBB">
      <w:pPr>
        <w:pStyle w:val="Heading3"/>
        <w:rPr>
          <w:lang w:val="es-ES"/>
        </w:rPr>
      </w:pPr>
      <w:r w:rsidRPr="00AA16F3">
        <w:rPr>
          <w:lang w:val="es-ES"/>
        </w:rPr>
        <w:t xml:space="preserve">Sesión 4. Adjudicación ante el Grupo Especial (II): procedimiento, expediente de la diferencia, comunicaciones e informe; método IRAC y mejores prácticas de </w:t>
      </w:r>
      <w:r>
        <w:rPr>
          <w:lang w:val="es-ES"/>
        </w:rPr>
        <w:t xml:space="preserve">ataque y </w:t>
      </w:r>
      <w:r w:rsidRPr="00AA16F3">
        <w:rPr>
          <w:lang w:val="es-ES"/>
        </w:rPr>
        <w:t>defensa</w:t>
      </w:r>
      <w:r w:rsidRPr="00AA16F3">
        <w:rPr>
          <w:lang w:val="es-ES"/>
        </w:rPr>
        <w:br/>
      </w:r>
    </w:p>
    <w:p w14:paraId="21976FCC" w14:textId="77777777" w:rsid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La cuarta sesión se dedicará a la práctica procesal ante el Grupo Especial. En su apertura, si se hubiera realizado el ejercicio opcional, se celebrará una mesa redonda orientada a comentar y mejorar las solicitudes de establecimiento, identificando fortalezas y vulnerabilidades a la luz de las exigencias de precisión y de la función delimitadora de dichas solicitudes.</w:t>
      </w:r>
    </w:p>
    <w:p w14:paraId="4EF223B5" w14:textId="25B9A22B" w:rsidR="00AA16F3" w:rsidRPr="00653E28" w:rsidRDefault="00AA16F3" w:rsidP="00AA16F3">
      <w:pPr>
        <w:pStyle w:val="BodyText"/>
        <w:rPr>
          <w:lang w:val="es-ES"/>
        </w:rPr>
      </w:pPr>
      <w:r w:rsidRPr="00653E28">
        <w:rPr>
          <w:lang w:val="es-ES"/>
        </w:rPr>
        <w:t>A continuación, se explicará la organización del procedimiento ante el Grupo Especial, incluyendo la secuencia típica de comunicaciones escritas, la dinámica de reuniones sustantivas, el uso de preguntas y solicitudes de explicaciones, y el modo en que se integran en el proceso las respuestas escritas y las pruebas documentales.</w:t>
      </w:r>
      <w:r w:rsidR="00653E28" w:rsidRPr="00653E28">
        <w:rPr>
          <w:lang w:val="es-ES"/>
        </w:rPr>
        <w:t xml:space="preserve"> Se examinará cómo se conforma el expediente de la diferencia a través de comunicaciones y actuaciones procesales, incluyendo el uso de la Aplicación de Registro de Diferencias en Línea (DORA) como registro electrónico para la presentación y notificación de comunicaciones.</w:t>
      </w:r>
    </w:p>
    <w:p w14:paraId="57605BEC" w14:textId="77777777" w:rsidR="00400E1E" w:rsidRDefault="00400E1E" w:rsidP="00AA16F3">
      <w:pPr>
        <w:pStyle w:val="BodyText"/>
        <w:rPr>
          <w:lang w:val="es-ES"/>
        </w:rPr>
      </w:pPr>
      <w:r w:rsidRPr="00400E1E">
        <w:rPr>
          <w:lang w:val="es-ES"/>
        </w:rPr>
        <w:lastRenderedPageBreak/>
        <w:t xml:space="preserve">En materia de técnica de alegación y de sustanciación de la diferencia ante el Grupo Especial, la sesión abordará buenas prácticas para la preparación y presentación de comunicaciones escritas y exposiciones orales, tanto desde la perspectiva del reclamante como del demandado. Se pondrá el acento en la correspondencia entre alegaciones, hechos y prueba, en la articulación clara y ordenada del razonamiento jurídico y en la respuesta estructurada a las preguntas del Grupo Especial. </w:t>
      </w:r>
    </w:p>
    <w:p w14:paraId="3FC7090C" w14:textId="51B2E74D" w:rsidR="00400E1E" w:rsidRDefault="00400E1E" w:rsidP="00AA16F3">
      <w:pPr>
        <w:pStyle w:val="BodyText"/>
        <w:rPr>
          <w:lang w:val="es-ES"/>
        </w:rPr>
      </w:pPr>
      <w:r w:rsidRPr="00400E1E">
        <w:rPr>
          <w:lang w:val="es-ES"/>
        </w:rPr>
        <w:t>En particular, se presentará el método IRAC como herramienta de organización del análisis y de la exposición, mediante la identificación de la norma pertinente, la determinación de sus elementos, la aplicación a los hechos y la formulación de conclusiones operativas. Este enfoque se trabajará a través de discusión guiada sobre ejemplos seleccionados y supuestos breves, con el fin de distinguir con precisión entre hechos, prueba y argumentación, e identificar los elementos decisivos de una alegación.</w:t>
      </w:r>
    </w:p>
    <w:p w14:paraId="4D516C1A" w14:textId="61DB93EE" w:rsidR="00AA16F3" w:rsidRPr="00AA16F3" w:rsidRDefault="00AA16F3" w:rsidP="00AA16F3">
      <w:pPr>
        <w:pStyle w:val="BodyText"/>
        <w:rPr>
          <w:lang w:val="es-ES"/>
        </w:rPr>
      </w:pPr>
      <w:r w:rsidRPr="00AA16F3">
        <w:rPr>
          <w:lang w:val="es-ES"/>
        </w:rPr>
        <w:t>La sesión concluirá con una explicación de la estructura del informe del Grupo Especial y de la lógica de sus secciones, destacando la función de la parte expositiva, el examen y las constataciones y recomendaciones, así como la práctica del examen provisional.</w:t>
      </w:r>
    </w:p>
    <w:p w14:paraId="47C6C408" w14:textId="77777777" w:rsidR="00AA16F3" w:rsidRDefault="00AA16F3" w:rsidP="00AA16F3">
      <w:pPr>
        <w:rPr>
          <w:b/>
          <w:bCs/>
          <w:lang w:val="es-ES"/>
        </w:rPr>
      </w:pPr>
    </w:p>
    <w:p w14:paraId="5CF4B85B" w14:textId="77777777" w:rsidR="00AA16F3" w:rsidRDefault="00AA16F3" w:rsidP="00AA16F3">
      <w:pPr>
        <w:pStyle w:val="Heading3"/>
        <w:rPr>
          <w:lang w:val="es-ES"/>
        </w:rPr>
      </w:pPr>
      <w:r w:rsidRPr="00AA16F3">
        <w:rPr>
          <w:lang w:val="es-ES"/>
        </w:rPr>
        <w:t>Sesión 5. Artículo 25, PAMAP [MPIA], cumplimiento y actualidad de la reforma del sistema</w:t>
      </w:r>
      <w:r w:rsidRPr="00AA16F3">
        <w:rPr>
          <w:lang w:val="es-ES"/>
        </w:rPr>
        <w:br/>
      </w:r>
    </w:p>
    <w:p w14:paraId="510AA775" w14:textId="77777777" w:rsidR="00400E1E" w:rsidRPr="00400E1E" w:rsidRDefault="00400E1E" w:rsidP="00400E1E">
      <w:pPr>
        <w:pStyle w:val="BodyText"/>
        <w:rPr>
          <w:lang w:val="es-ES"/>
        </w:rPr>
      </w:pPr>
      <w:r w:rsidRPr="00400E1E">
        <w:rPr>
          <w:lang w:val="es-ES"/>
        </w:rPr>
        <w:t>La sesión final situará el taller en la fase posterior al informe y en las modalidades actuales de revisión. Se explicará la naturaleza consensual del arbitraje del artículo 25, la forma en que las partes acuerdan el objeto y los parámetros del procedimiento, y la práctica de notificación y circulación del laudo, destacando sus implicaciones prácticas para los Miembros. En ese marco, se presentará el PAMAP [MPIA] como una referencia relevante en el contexto actual, precisando su encuadre general, su lógica de funcionamiento y sus implicaciones para la continuidad de la revisión.</w:t>
      </w:r>
    </w:p>
    <w:p w14:paraId="2046E702" w14:textId="77777777" w:rsidR="00400E1E" w:rsidRDefault="00400E1E" w:rsidP="00400E1E">
      <w:pPr>
        <w:pStyle w:val="BodyText"/>
        <w:rPr>
          <w:lang w:val="es-ES"/>
        </w:rPr>
      </w:pPr>
      <w:r w:rsidRPr="00400E1E">
        <w:rPr>
          <w:lang w:val="es-ES"/>
        </w:rPr>
        <w:t>Seguidamente, se ofrecerá una visión operativa del cumplimiento, incluyendo las nociones esenciales relativas a la vigilancia multilateral y a las herramientas disponibles en caso de desacuerdo sobre la conformidad de las medidas adoptadas para dar cumplimiento, así como las etapas pertinentes cuando se plantean controversias sobre la implementación.</w:t>
      </w:r>
    </w:p>
    <w:p w14:paraId="50062A27" w14:textId="50747F5D" w:rsidR="00AA16F3" w:rsidRPr="00AA16F3" w:rsidRDefault="00AA16F3" w:rsidP="00400E1E">
      <w:pPr>
        <w:pStyle w:val="BodyText"/>
        <w:rPr>
          <w:lang w:val="es-ES"/>
        </w:rPr>
      </w:pPr>
      <w:r w:rsidRPr="00AA16F3">
        <w:rPr>
          <w:lang w:val="es-ES"/>
        </w:rPr>
        <w:t>La sesión cerrará con un apartado sobre la actualidad y las negociaciones de reforma del sistema de solución de diferencias, orientado a identificar los principales ejes de discusión y los aspectos institucionales que se encuentran en juego.</w:t>
      </w:r>
    </w:p>
    <w:p w14:paraId="178BE94C" w14:textId="1BD41755" w:rsidR="00AA16F3" w:rsidRPr="00AA16F3" w:rsidRDefault="00AA16F3" w:rsidP="00AA16F3">
      <w:pPr>
        <w:rPr>
          <w:lang w:val="es-ES"/>
        </w:rPr>
      </w:pPr>
    </w:p>
    <w:p w14:paraId="5295C6ED" w14:textId="77777777" w:rsidR="00AA16F3" w:rsidRPr="00AA16F3" w:rsidRDefault="00AA16F3" w:rsidP="00AA16F3">
      <w:pPr>
        <w:rPr>
          <w:lang w:val="es-ES"/>
        </w:rPr>
      </w:pPr>
    </w:p>
    <w:p w14:paraId="6D81B4E4" w14:textId="75F4A632" w:rsidR="00AA16F3" w:rsidRPr="00AA16F3" w:rsidRDefault="00AA16F3" w:rsidP="00AA16F3">
      <w:pPr>
        <w:rPr>
          <w:i/>
          <w:iCs/>
          <w:lang w:val="es-ES"/>
        </w:rPr>
      </w:pPr>
      <w:r w:rsidRPr="00AA16F3">
        <w:rPr>
          <w:i/>
          <w:iCs/>
          <w:lang w:val="es-ES"/>
        </w:rPr>
        <w:t>Los horarios detallados, las pausas y la información de sala podrán incorporarse una vez confirmados los aspectos organizativos.</w:t>
      </w:r>
    </w:p>
    <w:p w14:paraId="24057615" w14:textId="77777777" w:rsidR="00AA16F3" w:rsidRPr="00AA16F3" w:rsidRDefault="00AA16F3" w:rsidP="00AA16F3">
      <w:pPr>
        <w:rPr>
          <w:vanish/>
          <w:lang w:val="es-ES"/>
        </w:rPr>
      </w:pPr>
      <w:r w:rsidRPr="00AA16F3">
        <w:rPr>
          <w:vanish/>
          <w:lang w:val="es-ES"/>
        </w:rPr>
        <w:t>Top of Form</w:t>
      </w:r>
    </w:p>
    <w:p w14:paraId="008FC2CC" w14:textId="77777777" w:rsidR="00AA16F3" w:rsidRPr="00AA16F3" w:rsidRDefault="00AA16F3" w:rsidP="00AA16F3">
      <w:pPr>
        <w:rPr>
          <w:lang w:val="es-ES"/>
        </w:rPr>
      </w:pPr>
    </w:p>
    <w:p w14:paraId="2630C44F" w14:textId="77777777" w:rsidR="00AA16F3" w:rsidRPr="00AA16F3" w:rsidRDefault="00AA16F3" w:rsidP="00AA16F3">
      <w:pPr>
        <w:rPr>
          <w:vanish/>
        </w:rPr>
      </w:pPr>
      <w:r w:rsidRPr="00AA16F3">
        <w:rPr>
          <w:vanish/>
        </w:rPr>
        <w:t>Bottom of Form</w:t>
      </w:r>
    </w:p>
    <w:p w14:paraId="34097CB5" w14:textId="77777777" w:rsidR="00850889" w:rsidRPr="00B415B8" w:rsidRDefault="00850889" w:rsidP="00182A75"/>
    <w:sectPr w:rsidR="00850889" w:rsidRPr="00B415B8" w:rsidSect="002A15FB">
      <w:headerReference w:type="even" r:id="rId8"/>
      <w:headerReference w:type="default" r:id="rId9"/>
      <w:headerReference w:type="first" r:id="rId10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1F39" w14:textId="77777777" w:rsidR="000B4CBF" w:rsidRDefault="000B4CBF" w:rsidP="00ED54E0">
      <w:r>
        <w:separator/>
      </w:r>
    </w:p>
  </w:endnote>
  <w:endnote w:type="continuationSeparator" w:id="0">
    <w:p w14:paraId="1336D1A8" w14:textId="77777777" w:rsidR="000B4CBF" w:rsidRDefault="000B4CB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40DB" w14:textId="77777777" w:rsidR="000B4CBF" w:rsidRDefault="000B4CBF" w:rsidP="00ED54E0">
      <w:r>
        <w:separator/>
      </w:r>
    </w:p>
  </w:footnote>
  <w:footnote w:type="continuationSeparator" w:id="0">
    <w:p w14:paraId="26D2B1E6" w14:textId="77777777" w:rsidR="000B4CBF" w:rsidRDefault="000B4CB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8D99" w14:textId="507ADA07" w:rsidR="00AA16F3" w:rsidRDefault="00AA1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E898" w14:textId="0BAA1723" w:rsidR="00A6787A" w:rsidRDefault="00A67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153B" w14:textId="140B2C2B" w:rsidR="00AA16F3" w:rsidRDefault="00AA1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142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F3"/>
    <w:rsid w:val="000106E0"/>
    <w:rsid w:val="000111BB"/>
    <w:rsid w:val="00022C0F"/>
    <w:rsid w:val="000272F6"/>
    <w:rsid w:val="00037AC4"/>
    <w:rsid w:val="000423BF"/>
    <w:rsid w:val="000A4945"/>
    <w:rsid w:val="000B31E1"/>
    <w:rsid w:val="000B4CBF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3A1B5F"/>
    <w:rsid w:val="00400E1E"/>
    <w:rsid w:val="004551EC"/>
    <w:rsid w:val="00467032"/>
    <w:rsid w:val="0046754A"/>
    <w:rsid w:val="004A31FF"/>
    <w:rsid w:val="004F203A"/>
    <w:rsid w:val="00512FF5"/>
    <w:rsid w:val="0052592D"/>
    <w:rsid w:val="005336B8"/>
    <w:rsid w:val="005917B1"/>
    <w:rsid w:val="005B04B9"/>
    <w:rsid w:val="005B68C7"/>
    <w:rsid w:val="005B7054"/>
    <w:rsid w:val="005C2CF7"/>
    <w:rsid w:val="005D0152"/>
    <w:rsid w:val="005D5981"/>
    <w:rsid w:val="005F30CB"/>
    <w:rsid w:val="00612644"/>
    <w:rsid w:val="00653E28"/>
    <w:rsid w:val="00674CCD"/>
    <w:rsid w:val="006A18DC"/>
    <w:rsid w:val="006D6742"/>
    <w:rsid w:val="006E3654"/>
    <w:rsid w:val="006F5826"/>
    <w:rsid w:val="00700181"/>
    <w:rsid w:val="007141CF"/>
    <w:rsid w:val="00744276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9D426B"/>
    <w:rsid w:val="00A00EBB"/>
    <w:rsid w:val="00A53DCE"/>
    <w:rsid w:val="00A6057A"/>
    <w:rsid w:val="00A63124"/>
    <w:rsid w:val="00A6787A"/>
    <w:rsid w:val="00A74017"/>
    <w:rsid w:val="00A97A1E"/>
    <w:rsid w:val="00AA16F3"/>
    <w:rsid w:val="00AA332C"/>
    <w:rsid w:val="00AC24C7"/>
    <w:rsid w:val="00AC27F8"/>
    <w:rsid w:val="00AD4C72"/>
    <w:rsid w:val="00AE20ED"/>
    <w:rsid w:val="00AE2AEE"/>
    <w:rsid w:val="00AE451B"/>
    <w:rsid w:val="00B1394B"/>
    <w:rsid w:val="00B230EC"/>
    <w:rsid w:val="00B415B8"/>
    <w:rsid w:val="00B50DC4"/>
    <w:rsid w:val="00B56EDC"/>
    <w:rsid w:val="00B67C16"/>
    <w:rsid w:val="00BB1F84"/>
    <w:rsid w:val="00BE126A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2C99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E9B0C"/>
  <w15:chartTrackingRefBased/>
  <w15:docId w15:val="{2BA5FEB6-9C8D-43B9-8E4F-0F0A091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  <w:ind w:left="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7cbe276a-1e13-4a6d-b05a-14f250362b07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160125F9-95B0-48BB-92E3-8A9B528A27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1380</Words>
  <Characters>7871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Pereyra, Maria J.</dc:creator>
  <cp:keywords/>
  <dc:description/>
  <cp:lastModifiedBy>Gomez Bustos, Laura</cp:lastModifiedBy>
  <cp:revision>2</cp:revision>
  <dcterms:created xsi:type="dcterms:W3CDTF">2026-02-20T15:55:00Z</dcterms:created>
  <dcterms:modified xsi:type="dcterms:W3CDTF">2026-02-20T15:55:00Z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7cbe276a-1e13-4a6d-b05a-14f250362b07</vt:lpwstr>
  </property>
  <property fmtid="{D5CDD505-2E9C-101B-9397-08002B2CF9AE}" pid="3" name="WTOCLASSIFICATION">
    <vt:lpwstr>PUBLIC</vt:lpwstr>
  </property>
</Properties>
</file>