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D7EA9" w14:textId="77777777" w:rsidR="00E62E1C" w:rsidRDefault="00E62E1C" w:rsidP="001E40B2">
      <w:pPr>
        <w:tabs>
          <w:tab w:val="left" w:pos="720"/>
        </w:tabs>
        <w:jc w:val="center"/>
        <w:rPr>
          <w:rFonts w:ascii="Calibri" w:eastAsia="Times New Roman" w:hAnsi="Calibri" w:cs="Calibri"/>
          <w:b/>
          <w:sz w:val="28"/>
          <w:szCs w:val="28"/>
          <w:lang w:val="es-ES_tradnl"/>
        </w:rPr>
      </w:pPr>
    </w:p>
    <w:p w14:paraId="1176186E" w14:textId="77777777" w:rsidR="00E62E1C" w:rsidRDefault="00E62E1C" w:rsidP="001E40B2">
      <w:pPr>
        <w:tabs>
          <w:tab w:val="left" w:pos="720"/>
        </w:tabs>
        <w:jc w:val="center"/>
        <w:rPr>
          <w:rFonts w:ascii="Calibri" w:eastAsia="Times New Roman" w:hAnsi="Calibri" w:cs="Calibri"/>
          <w:b/>
          <w:sz w:val="28"/>
          <w:szCs w:val="28"/>
          <w:lang w:val="es-ES_tradnl"/>
        </w:rPr>
      </w:pPr>
    </w:p>
    <w:p w14:paraId="6CBEE307" w14:textId="5B70CD05" w:rsidR="001E40B2" w:rsidRPr="001E40B2" w:rsidRDefault="001E40B2" w:rsidP="001E40B2">
      <w:pPr>
        <w:tabs>
          <w:tab w:val="left" w:pos="720"/>
        </w:tabs>
        <w:jc w:val="center"/>
        <w:rPr>
          <w:rFonts w:ascii="Calibri" w:eastAsia="Times New Roman" w:hAnsi="Calibri" w:cs="Calibri"/>
          <w:b/>
          <w:sz w:val="28"/>
          <w:szCs w:val="28"/>
          <w:lang w:val="es-ES_tradnl"/>
        </w:rPr>
      </w:pPr>
      <w:r w:rsidRPr="001E40B2">
        <w:rPr>
          <w:rFonts w:ascii="Calibri" w:eastAsia="Times New Roman" w:hAnsi="Calibri" w:cs="Calibri"/>
          <w:b/>
          <w:sz w:val="28"/>
          <w:szCs w:val="28"/>
          <w:lang w:val="es-ES_tradnl"/>
        </w:rPr>
        <w:t>Taller Nacional sobre el Comercio de Servicios para el Desarrollo (TS4D)</w:t>
      </w:r>
    </w:p>
    <w:p w14:paraId="72187D13" w14:textId="77777777" w:rsidR="001E40B2" w:rsidRPr="001E40B2" w:rsidRDefault="001E40B2" w:rsidP="001E40B2">
      <w:pPr>
        <w:tabs>
          <w:tab w:val="left" w:pos="720"/>
        </w:tabs>
        <w:jc w:val="center"/>
        <w:rPr>
          <w:rFonts w:ascii="Calibri" w:eastAsia="Times New Roman" w:hAnsi="Calibri" w:cs="Calibri"/>
          <w:b/>
          <w:sz w:val="28"/>
          <w:szCs w:val="28"/>
          <w:lang w:val="es-ES_tradnl"/>
        </w:rPr>
      </w:pPr>
      <w:r w:rsidRPr="001E40B2">
        <w:rPr>
          <w:rFonts w:ascii="Calibri" w:eastAsia="Times New Roman" w:hAnsi="Calibri" w:cs="Calibri"/>
          <w:b/>
          <w:sz w:val="28"/>
          <w:szCs w:val="28"/>
          <w:lang w:val="es-ES_tradnl"/>
        </w:rPr>
        <w:t xml:space="preserve"> Panamá </w:t>
      </w:r>
    </w:p>
    <w:p w14:paraId="308333B8" w14:textId="77777777" w:rsidR="001E40B2" w:rsidRPr="001E40B2" w:rsidRDefault="001E40B2" w:rsidP="001E40B2">
      <w:pPr>
        <w:tabs>
          <w:tab w:val="left" w:pos="720"/>
        </w:tabs>
        <w:jc w:val="center"/>
        <w:rPr>
          <w:rFonts w:ascii="Calibri" w:eastAsia="Times New Roman" w:hAnsi="Calibri" w:cs="Calibri"/>
          <w:b/>
          <w:sz w:val="28"/>
          <w:szCs w:val="28"/>
          <w:lang w:val="es-ES_tradnl"/>
        </w:rPr>
      </w:pPr>
    </w:p>
    <w:p w14:paraId="3463F063" w14:textId="255FB72C" w:rsidR="001E40B2" w:rsidRPr="001E40B2" w:rsidRDefault="001E40B2" w:rsidP="001E40B2">
      <w:pPr>
        <w:tabs>
          <w:tab w:val="left" w:pos="720"/>
          <w:tab w:val="center" w:pos="4513"/>
          <w:tab w:val="left" w:pos="7440"/>
          <w:tab w:val="right" w:pos="9026"/>
        </w:tabs>
        <w:jc w:val="left"/>
        <w:rPr>
          <w:rFonts w:ascii="Calibri" w:eastAsia="Times New Roman" w:hAnsi="Calibri" w:cs="Calibri"/>
          <w:b/>
          <w:sz w:val="12"/>
          <w:szCs w:val="28"/>
          <w:lang w:val="es-ES_tradnl"/>
        </w:rPr>
      </w:pPr>
      <w:r w:rsidRPr="001E40B2">
        <w:rPr>
          <w:rFonts w:ascii="Calibri" w:eastAsia="Times New Roman" w:hAnsi="Calibri" w:cs="Calibri"/>
          <w:b/>
          <w:sz w:val="26"/>
          <w:szCs w:val="26"/>
          <w:lang w:val="es-ES_tradnl"/>
        </w:rPr>
        <w:tab/>
      </w:r>
      <w:r w:rsidRPr="001E40B2">
        <w:rPr>
          <w:rFonts w:ascii="Calibri" w:eastAsia="Times New Roman" w:hAnsi="Calibri" w:cs="Calibri"/>
          <w:b/>
          <w:sz w:val="26"/>
          <w:szCs w:val="26"/>
          <w:lang w:val="es-ES_tradnl"/>
        </w:rPr>
        <w:tab/>
      </w:r>
      <w:r w:rsidR="00805984">
        <w:rPr>
          <w:rFonts w:ascii="Calibri" w:eastAsia="Times New Roman" w:hAnsi="Calibri" w:cs="Calibri"/>
          <w:b/>
          <w:sz w:val="26"/>
          <w:szCs w:val="26"/>
          <w:lang w:val="es-ES_tradnl"/>
        </w:rPr>
        <w:t>23-24</w:t>
      </w:r>
      <w:r w:rsidR="004A228B">
        <w:rPr>
          <w:rFonts w:ascii="Calibri" w:eastAsia="Times New Roman" w:hAnsi="Calibri" w:cs="Calibri"/>
          <w:b/>
          <w:sz w:val="26"/>
          <w:szCs w:val="26"/>
          <w:lang w:val="es-ES_tradnl"/>
        </w:rPr>
        <w:t xml:space="preserve"> de</w:t>
      </w:r>
      <w:r w:rsidR="00805984">
        <w:rPr>
          <w:rFonts w:ascii="Calibri" w:eastAsia="Times New Roman" w:hAnsi="Calibri" w:cs="Calibri"/>
          <w:b/>
          <w:sz w:val="26"/>
          <w:szCs w:val="26"/>
          <w:lang w:val="es-ES_tradnl"/>
        </w:rPr>
        <w:t xml:space="preserve"> </w:t>
      </w:r>
      <w:r w:rsidR="004A228B">
        <w:rPr>
          <w:rFonts w:ascii="Calibri" w:eastAsia="Times New Roman" w:hAnsi="Calibri" w:cs="Calibri"/>
          <w:b/>
          <w:sz w:val="26"/>
          <w:szCs w:val="26"/>
          <w:lang w:val="es-ES_tradnl"/>
        </w:rPr>
        <w:t>n</w:t>
      </w:r>
      <w:r w:rsidRPr="001E40B2">
        <w:rPr>
          <w:rFonts w:ascii="Calibri" w:eastAsia="Times New Roman" w:hAnsi="Calibri" w:cs="Calibri"/>
          <w:b/>
          <w:sz w:val="26"/>
          <w:szCs w:val="26"/>
          <w:lang w:val="es-ES_tradnl"/>
        </w:rPr>
        <w:t xml:space="preserve">oviembre </w:t>
      </w:r>
      <w:r w:rsidR="004A228B">
        <w:rPr>
          <w:rFonts w:ascii="Calibri" w:eastAsia="Times New Roman" w:hAnsi="Calibri" w:cs="Calibri"/>
          <w:b/>
          <w:sz w:val="26"/>
          <w:szCs w:val="26"/>
          <w:lang w:val="es-ES_tradnl"/>
        </w:rPr>
        <w:t xml:space="preserve">de </w:t>
      </w:r>
      <w:r w:rsidRPr="001E40B2">
        <w:rPr>
          <w:rFonts w:ascii="Calibri" w:eastAsia="Times New Roman" w:hAnsi="Calibri" w:cs="Calibri"/>
          <w:b/>
          <w:sz w:val="26"/>
          <w:szCs w:val="26"/>
          <w:lang w:val="es-ES_tradnl"/>
        </w:rPr>
        <w:t>2026</w:t>
      </w:r>
      <w:r w:rsidRPr="001E40B2">
        <w:rPr>
          <w:rFonts w:ascii="Calibri" w:eastAsia="Times New Roman" w:hAnsi="Calibri" w:cs="Calibri"/>
          <w:b/>
          <w:sz w:val="26"/>
          <w:szCs w:val="26"/>
          <w:lang w:val="es-ES_tradnl"/>
        </w:rPr>
        <w:tab/>
      </w:r>
      <w:r w:rsidRPr="001E40B2">
        <w:rPr>
          <w:rFonts w:ascii="Calibri" w:eastAsia="Times New Roman" w:hAnsi="Calibri" w:cs="Calibri"/>
          <w:b/>
          <w:sz w:val="26"/>
          <w:szCs w:val="26"/>
          <w:lang w:val="es-ES_tradnl"/>
        </w:rPr>
        <w:tab/>
      </w:r>
    </w:p>
    <w:p w14:paraId="7909D7EF" w14:textId="77777777" w:rsidR="001E40B2" w:rsidRPr="001E40B2" w:rsidRDefault="001E40B2" w:rsidP="001E40B2">
      <w:pPr>
        <w:tabs>
          <w:tab w:val="left" w:pos="720"/>
        </w:tabs>
        <w:rPr>
          <w:rFonts w:ascii="Calibri" w:eastAsia="Times New Roman" w:hAnsi="Calibri" w:cs="Calibri"/>
          <w:b/>
          <w:sz w:val="12"/>
          <w:szCs w:val="28"/>
          <w:lang w:val="es-ES_tradnl"/>
        </w:rPr>
      </w:pPr>
    </w:p>
    <w:p w14:paraId="09ADE117" w14:textId="77777777" w:rsidR="001E40B2" w:rsidRPr="001E40B2" w:rsidRDefault="001E40B2" w:rsidP="001E40B2">
      <w:pPr>
        <w:tabs>
          <w:tab w:val="left" w:pos="720"/>
        </w:tabs>
        <w:rPr>
          <w:rFonts w:ascii="Calibri" w:eastAsia="Times New Roman" w:hAnsi="Calibri" w:cs="Calibri"/>
          <w:b/>
          <w:sz w:val="12"/>
          <w:szCs w:val="28"/>
          <w:lang w:val="es-ES_tradnl"/>
        </w:rPr>
      </w:pPr>
    </w:p>
    <w:p w14:paraId="6EA0ED2B" w14:textId="77777777" w:rsidR="001E40B2" w:rsidRPr="001E40B2" w:rsidRDefault="001E40B2" w:rsidP="001E40B2">
      <w:pPr>
        <w:tabs>
          <w:tab w:val="left" w:pos="720"/>
        </w:tabs>
        <w:rPr>
          <w:rFonts w:ascii="Calibri" w:eastAsia="Times New Roman" w:hAnsi="Calibri" w:cs="Calibri"/>
          <w:b/>
          <w:sz w:val="12"/>
          <w:szCs w:val="28"/>
          <w:lang w:val="es-ES_tradnl"/>
        </w:rPr>
      </w:pPr>
    </w:p>
    <w:p w14:paraId="2EB78535" w14:textId="77777777" w:rsidR="001E40B2" w:rsidRPr="001E40B2" w:rsidRDefault="001E40B2" w:rsidP="001E40B2">
      <w:pPr>
        <w:tabs>
          <w:tab w:val="left" w:pos="720"/>
        </w:tabs>
        <w:rPr>
          <w:rFonts w:ascii="Calibri" w:eastAsia="Times New Roman" w:hAnsi="Calibri" w:cs="Calibri"/>
          <w:bCs/>
          <w:i/>
          <w:iCs/>
          <w:sz w:val="22"/>
          <w:lang w:val="es-ES_tradnl"/>
        </w:rPr>
      </w:pPr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>La Secretaría de la OMC prevé llevar a cabo un taller nacional en Panamá sobre comercio de servicios en el marco de la iniciativa Comercio de Servicios para el Desarrollo (TS4D).</w:t>
      </w:r>
    </w:p>
    <w:p w14:paraId="517DFC06" w14:textId="77777777" w:rsidR="001E40B2" w:rsidRPr="001E40B2" w:rsidRDefault="001E40B2" w:rsidP="001E40B2">
      <w:pPr>
        <w:tabs>
          <w:tab w:val="left" w:pos="720"/>
        </w:tabs>
        <w:rPr>
          <w:rFonts w:ascii="Calibri" w:eastAsia="Times New Roman" w:hAnsi="Calibri" w:cs="Calibri"/>
          <w:bCs/>
          <w:i/>
          <w:iCs/>
          <w:sz w:val="22"/>
          <w:lang w:val="es-ES_tradnl"/>
        </w:rPr>
      </w:pPr>
    </w:p>
    <w:p w14:paraId="693A4DBD" w14:textId="7B03F74A" w:rsidR="001E40B2" w:rsidRPr="001E40B2" w:rsidRDefault="001E40B2" w:rsidP="001E40B2">
      <w:pPr>
        <w:tabs>
          <w:tab w:val="left" w:pos="720"/>
        </w:tabs>
        <w:rPr>
          <w:rFonts w:ascii="Calibri" w:eastAsia="Times New Roman" w:hAnsi="Calibri" w:cs="Calibri"/>
          <w:bCs/>
          <w:i/>
          <w:iCs/>
          <w:sz w:val="22"/>
          <w:lang w:val="es-ES_tradnl"/>
        </w:rPr>
      </w:pPr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Los principales objetivos de este taller de </w:t>
      </w:r>
      <w:r w:rsidR="00C6208E">
        <w:rPr>
          <w:rFonts w:ascii="Calibri" w:eastAsia="Times New Roman" w:hAnsi="Calibri" w:cs="Calibri"/>
          <w:bCs/>
          <w:i/>
          <w:iCs/>
          <w:sz w:val="22"/>
          <w:lang w:val="es-ES_tradnl"/>
        </w:rPr>
        <w:t>dos</w:t>
      </w:r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 días son:</w:t>
      </w:r>
    </w:p>
    <w:p w14:paraId="7CC54A83" w14:textId="77777777" w:rsidR="001E40B2" w:rsidRPr="001E40B2" w:rsidRDefault="001E40B2" w:rsidP="001E40B2">
      <w:pPr>
        <w:tabs>
          <w:tab w:val="left" w:pos="720"/>
        </w:tabs>
        <w:rPr>
          <w:rFonts w:ascii="Calibri" w:eastAsia="Times New Roman" w:hAnsi="Calibri" w:cs="Calibri"/>
          <w:bCs/>
          <w:i/>
          <w:iCs/>
          <w:sz w:val="22"/>
          <w:lang w:val="es-ES_tradnl"/>
        </w:rPr>
      </w:pPr>
    </w:p>
    <w:p w14:paraId="37C87149" w14:textId="77777777" w:rsidR="001E40B2" w:rsidRPr="001E40B2" w:rsidRDefault="001E40B2" w:rsidP="001E40B2">
      <w:pPr>
        <w:numPr>
          <w:ilvl w:val="0"/>
          <w:numId w:val="33"/>
        </w:numPr>
        <w:tabs>
          <w:tab w:val="left" w:pos="720"/>
        </w:tabs>
        <w:rPr>
          <w:rFonts w:ascii="Calibri" w:eastAsia="Times New Roman" w:hAnsi="Calibri" w:cs="Calibri"/>
          <w:bCs/>
          <w:i/>
          <w:iCs/>
          <w:sz w:val="22"/>
          <w:lang w:val="es-ES_tradnl"/>
        </w:rPr>
      </w:pPr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Analizar los desarrollos recientes y las tendencias emergentes en el comercio mundial y regional de servicios, en particular el impacto de la digitalización. </w:t>
      </w:r>
    </w:p>
    <w:p w14:paraId="1FAED45D" w14:textId="77777777" w:rsidR="001E40B2" w:rsidRPr="001E40B2" w:rsidRDefault="001E40B2" w:rsidP="001E40B2">
      <w:pPr>
        <w:numPr>
          <w:ilvl w:val="0"/>
          <w:numId w:val="33"/>
        </w:numPr>
        <w:tabs>
          <w:tab w:val="left" w:pos="720"/>
        </w:tabs>
        <w:rPr>
          <w:rFonts w:ascii="Calibri" w:eastAsia="Times New Roman" w:hAnsi="Calibri" w:cs="Calibri"/>
          <w:bCs/>
          <w:i/>
          <w:iCs/>
          <w:sz w:val="22"/>
          <w:lang w:val="es-ES_tradnl"/>
        </w:rPr>
      </w:pPr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Examinar los principales aspectos del Acuerdo General sobre el Comercio de Servicios (AGCS/GATS), incluido su alcance, sus principales obligaciones y las listas de compromisos específicos. </w:t>
      </w:r>
    </w:p>
    <w:p w14:paraId="1115BB45" w14:textId="77777777" w:rsidR="001E40B2" w:rsidRPr="001E40B2" w:rsidRDefault="001E40B2" w:rsidP="001E40B2">
      <w:pPr>
        <w:numPr>
          <w:ilvl w:val="0"/>
          <w:numId w:val="33"/>
        </w:numPr>
        <w:tabs>
          <w:tab w:val="left" w:pos="720"/>
        </w:tabs>
        <w:rPr>
          <w:rFonts w:ascii="Calibri" w:eastAsia="Times New Roman" w:hAnsi="Calibri" w:cs="Calibri"/>
          <w:bCs/>
          <w:i/>
          <w:iCs/>
          <w:sz w:val="22"/>
          <w:lang w:val="es-ES_tradnl"/>
        </w:rPr>
      </w:pPr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Examinar las principales características de los acuerdos comerciales regionales en materia de servicios, incluidos sus diferentes enfoques para la consignación de compromisos. </w:t>
      </w:r>
    </w:p>
    <w:p w14:paraId="09BE047C" w14:textId="6891455E" w:rsidR="001E40B2" w:rsidRPr="001E40B2" w:rsidRDefault="001E40B2" w:rsidP="001E40B2">
      <w:pPr>
        <w:numPr>
          <w:ilvl w:val="0"/>
          <w:numId w:val="33"/>
        </w:numPr>
        <w:tabs>
          <w:tab w:val="left" w:pos="720"/>
        </w:tabs>
        <w:rPr>
          <w:rFonts w:ascii="Calibri" w:eastAsia="Times New Roman" w:hAnsi="Calibri" w:cs="Calibri"/>
          <w:bCs/>
          <w:i/>
          <w:iCs/>
          <w:sz w:val="22"/>
          <w:lang w:val="es-ES_tradnl"/>
        </w:rPr>
      </w:pPr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Familiarizar a los participantes con herramientas prácticas, entre ellas el </w:t>
      </w:r>
      <w:r w:rsidR="00C6208E">
        <w:rPr>
          <w:rFonts w:ascii="Calibri" w:eastAsia="Times New Roman" w:hAnsi="Calibri" w:cs="Calibri"/>
          <w:bCs/>
          <w:i/>
          <w:iCs/>
          <w:sz w:val="22"/>
          <w:lang w:val="es-ES_tradnl"/>
        </w:rPr>
        <w:t>Centro de datos sobre comercio mundial de servicios (</w:t>
      </w:r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Global Services Trade Data </w:t>
      </w:r>
      <w:proofErr w:type="gramStart"/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>Hub</w:t>
      </w:r>
      <w:proofErr w:type="gramEnd"/>
      <w:r w:rsidR="00C6208E">
        <w:rPr>
          <w:rFonts w:ascii="Calibri" w:eastAsia="Times New Roman" w:hAnsi="Calibri" w:cs="Calibri"/>
          <w:bCs/>
          <w:i/>
          <w:iCs/>
          <w:sz w:val="22"/>
          <w:lang w:val="es-ES_tradnl"/>
        </w:rPr>
        <w:t>)</w:t>
      </w:r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 y la base de datos I-TIP Services.</w:t>
      </w:r>
    </w:p>
    <w:p w14:paraId="59BEC849" w14:textId="494FAE46" w:rsidR="001E40B2" w:rsidRPr="001E40B2" w:rsidRDefault="001E40B2" w:rsidP="001E40B2">
      <w:pPr>
        <w:numPr>
          <w:ilvl w:val="0"/>
          <w:numId w:val="33"/>
        </w:numPr>
        <w:tabs>
          <w:tab w:val="left" w:pos="720"/>
        </w:tabs>
        <w:rPr>
          <w:rFonts w:ascii="Calibri" w:eastAsia="Times New Roman" w:hAnsi="Calibri" w:cs="Calibri"/>
          <w:bCs/>
          <w:i/>
          <w:iCs/>
          <w:sz w:val="22"/>
          <w:lang w:val="es-ES_tradnl"/>
        </w:rPr>
      </w:pPr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Familiarizar a los participantes con el Panel de Competitividad del Comercio de Servicios del Banco Mundial y la OMC (WB-WTO Services Trade </w:t>
      </w:r>
      <w:proofErr w:type="spellStart"/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>Competitiveness</w:t>
      </w:r>
      <w:proofErr w:type="spellEnd"/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 </w:t>
      </w:r>
      <w:proofErr w:type="spellStart"/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>Dashboard</w:t>
      </w:r>
      <w:proofErr w:type="spellEnd"/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), con el fin de facilitar una evaluación del desempeño del sector de servicios de Panamá y debatir sus fortalezas </w:t>
      </w:r>
      <w:r w:rsidR="00C6208E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y debilidades </w:t>
      </w:r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competitivas, </w:t>
      </w:r>
      <w:r w:rsidR="00C6208E">
        <w:rPr>
          <w:rFonts w:ascii="Calibri" w:eastAsia="Times New Roman" w:hAnsi="Calibri" w:cs="Calibri"/>
          <w:bCs/>
          <w:i/>
          <w:iCs/>
          <w:sz w:val="22"/>
          <w:lang w:val="es-ES_tradnl"/>
        </w:rPr>
        <w:t>así como las</w:t>
      </w:r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t xml:space="preserve"> posibles áreas prioritarias para la mejora de las políticas nacionales.</w:t>
      </w:r>
    </w:p>
    <w:p w14:paraId="07167E0D" w14:textId="77777777" w:rsidR="001E40B2" w:rsidRPr="001E40B2" w:rsidRDefault="001E40B2" w:rsidP="001E40B2">
      <w:pPr>
        <w:tabs>
          <w:tab w:val="left" w:pos="720"/>
        </w:tabs>
        <w:rPr>
          <w:rFonts w:ascii="Calibri" w:eastAsia="Times New Roman" w:hAnsi="Calibri" w:cs="Calibri"/>
          <w:bCs/>
          <w:i/>
          <w:iCs/>
          <w:sz w:val="22"/>
          <w:lang w:val="es-ES_tradnl"/>
        </w:rPr>
      </w:pPr>
    </w:p>
    <w:p w14:paraId="04EE70EC" w14:textId="77777777" w:rsidR="001E40B2" w:rsidRPr="001E40B2" w:rsidRDefault="001E40B2" w:rsidP="001E40B2">
      <w:pPr>
        <w:tabs>
          <w:tab w:val="left" w:pos="720"/>
        </w:tabs>
        <w:rPr>
          <w:rFonts w:ascii="Calibri" w:eastAsia="Times New Roman" w:hAnsi="Calibri" w:cs="Calibri"/>
          <w:bCs/>
          <w:i/>
          <w:iCs/>
          <w:sz w:val="22"/>
          <w:lang w:val="es-ES_tradnl"/>
        </w:rPr>
      </w:pPr>
    </w:p>
    <w:p w14:paraId="4A6ECA0D" w14:textId="77777777" w:rsidR="001E40B2" w:rsidRPr="001E40B2" w:rsidRDefault="001E40B2" w:rsidP="001E40B2">
      <w:pPr>
        <w:jc w:val="left"/>
        <w:rPr>
          <w:rFonts w:ascii="Calibri" w:eastAsia="Times New Roman" w:hAnsi="Calibri" w:cs="Calibri"/>
          <w:bCs/>
          <w:i/>
          <w:iCs/>
          <w:sz w:val="22"/>
          <w:lang w:val="es-ES_tradnl"/>
        </w:rPr>
      </w:pPr>
      <w:r w:rsidRPr="001E40B2">
        <w:rPr>
          <w:rFonts w:ascii="Calibri" w:eastAsia="Times New Roman" w:hAnsi="Calibri" w:cs="Calibri"/>
          <w:bCs/>
          <w:i/>
          <w:iCs/>
          <w:sz w:val="22"/>
          <w:lang w:val="es-ES_tradnl"/>
        </w:rPr>
        <w:br w:type="page"/>
      </w:r>
    </w:p>
    <w:p w14:paraId="174A3708" w14:textId="2A32DFD3" w:rsidR="001E40B2" w:rsidRPr="001E40B2" w:rsidRDefault="001E40B2" w:rsidP="001E40B2">
      <w:pPr>
        <w:tabs>
          <w:tab w:val="left" w:pos="720"/>
        </w:tabs>
        <w:jc w:val="center"/>
        <w:rPr>
          <w:rFonts w:ascii="Calibri" w:eastAsia="Times New Roman" w:hAnsi="Calibri" w:cs="Calibri"/>
          <w:b/>
          <w:sz w:val="28"/>
          <w:szCs w:val="28"/>
          <w:u w:val="single"/>
        </w:rPr>
      </w:pPr>
      <w:proofErr w:type="spellStart"/>
      <w:r w:rsidRPr="001E40B2">
        <w:rPr>
          <w:rFonts w:ascii="Calibri" w:eastAsia="Times New Roman" w:hAnsi="Calibri" w:cs="Calibri"/>
          <w:b/>
          <w:sz w:val="28"/>
          <w:szCs w:val="28"/>
          <w:u w:val="single"/>
        </w:rPr>
        <w:lastRenderedPageBreak/>
        <w:t>Programa</w:t>
      </w:r>
      <w:proofErr w:type="spellEnd"/>
    </w:p>
    <w:p w14:paraId="152DED60" w14:textId="77777777" w:rsidR="001E40B2" w:rsidRDefault="001E40B2" w:rsidP="00A80B07">
      <w:pPr>
        <w:tabs>
          <w:tab w:val="left" w:pos="720"/>
        </w:tabs>
        <w:jc w:val="center"/>
        <w:rPr>
          <w:rFonts w:ascii="Calibri" w:eastAsia="Times New Roman" w:hAnsi="Calibri" w:cs="Calibri"/>
          <w:b/>
          <w:sz w:val="28"/>
          <w:szCs w:val="28"/>
        </w:rPr>
      </w:pPr>
    </w:p>
    <w:p w14:paraId="3735DE40" w14:textId="77777777" w:rsidR="00BB0FFA" w:rsidRPr="001E40B2" w:rsidRDefault="00BB0FFA" w:rsidP="00A80B07">
      <w:pPr>
        <w:tabs>
          <w:tab w:val="left" w:pos="720"/>
        </w:tabs>
        <w:jc w:val="center"/>
        <w:rPr>
          <w:rFonts w:ascii="Calibri" w:eastAsia="Times New Roman" w:hAnsi="Calibri" w:cs="Calibri"/>
          <w:b/>
          <w:sz w:val="28"/>
          <w:szCs w:val="28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05"/>
      </w:tblGrid>
      <w:tr w:rsidR="001E40B2" w:rsidRPr="001E40B2" w14:paraId="54600B53" w14:textId="77777777" w:rsidTr="001E40B2">
        <w:trPr>
          <w:trHeight w:val="467"/>
        </w:trPr>
        <w:tc>
          <w:tcPr>
            <w:tcW w:w="10065" w:type="dxa"/>
            <w:gridSpan w:val="2"/>
            <w:shd w:val="clear" w:color="auto" w:fill="FABF8F"/>
            <w:vAlign w:val="center"/>
          </w:tcPr>
          <w:p w14:paraId="1DF82995" w14:textId="444C9B0F" w:rsidR="001E40B2" w:rsidRPr="001E40B2" w:rsidRDefault="00805984" w:rsidP="001E40B2">
            <w:pPr>
              <w:tabs>
                <w:tab w:val="right" w:pos="1334"/>
              </w:tabs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Lunes, 23 de </w:t>
            </w:r>
            <w:proofErr w:type="spellStart"/>
            <w:r w:rsidR="004A228B">
              <w:rPr>
                <w:rFonts w:ascii="Calibri" w:eastAsia="Times New Roman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>oviembre</w:t>
            </w:r>
            <w:proofErr w:type="spellEnd"/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EA75A5" w:rsidRPr="001E40B2" w14:paraId="18E142D2" w14:textId="77777777" w:rsidTr="00EA75A5">
        <w:trPr>
          <w:trHeight w:val="624"/>
        </w:trPr>
        <w:tc>
          <w:tcPr>
            <w:tcW w:w="1560" w:type="dxa"/>
            <w:vAlign w:val="center"/>
          </w:tcPr>
          <w:p w14:paraId="72ED053D" w14:textId="4FDE274E" w:rsidR="00EA75A5" w:rsidRDefault="00EA75A5" w:rsidP="001E40B2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8h00 – 8h15</w:t>
            </w:r>
          </w:p>
        </w:tc>
        <w:tc>
          <w:tcPr>
            <w:tcW w:w="8505" w:type="dxa"/>
            <w:vAlign w:val="center"/>
          </w:tcPr>
          <w:p w14:paraId="09EEE016" w14:textId="705E9309" w:rsidR="00EA75A5" w:rsidRPr="00FC3119" w:rsidRDefault="004A228B" w:rsidP="001E40B2">
            <w:pPr>
              <w:jc w:val="left"/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</w:pPr>
            <w:r w:rsidRPr="00FC3119"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  <w:t>Acreditación de los participantes</w:t>
            </w:r>
            <w:r w:rsidR="00EA75A5" w:rsidRPr="00FC3119"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  <w:t xml:space="preserve"> </w:t>
            </w:r>
          </w:p>
        </w:tc>
      </w:tr>
      <w:tr w:rsidR="00EA75A5" w:rsidRPr="00FC3119" w14:paraId="5D8C9356" w14:textId="77777777" w:rsidTr="00EA75A5">
        <w:trPr>
          <w:trHeight w:val="624"/>
        </w:trPr>
        <w:tc>
          <w:tcPr>
            <w:tcW w:w="1560" w:type="dxa"/>
            <w:vAlign w:val="center"/>
          </w:tcPr>
          <w:p w14:paraId="75F1342C" w14:textId="3D2CB58B" w:rsidR="00EA75A5" w:rsidRDefault="00EA75A5" w:rsidP="001E40B2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 xml:space="preserve">8h15 – 8h30 </w:t>
            </w:r>
          </w:p>
        </w:tc>
        <w:tc>
          <w:tcPr>
            <w:tcW w:w="8505" w:type="dxa"/>
            <w:vAlign w:val="center"/>
          </w:tcPr>
          <w:p w14:paraId="48383242" w14:textId="10AD991E" w:rsidR="00EA75A5" w:rsidRPr="00FC3119" w:rsidRDefault="004A228B" w:rsidP="00805984">
            <w:pPr>
              <w:jc w:val="left"/>
              <w:rPr>
                <w:rFonts w:ascii="Calibri" w:eastAsia="Times New Roman" w:hAnsi="Calibri" w:cs="Calibri"/>
                <w:sz w:val="22"/>
              </w:rPr>
            </w:pPr>
            <w:proofErr w:type="spellStart"/>
            <w:r w:rsidRPr="00FC3119">
              <w:rPr>
                <w:rFonts w:ascii="Calibri" w:eastAsia="Times New Roman" w:hAnsi="Calibri" w:cs="Calibri"/>
                <w:b/>
                <w:bCs/>
                <w:sz w:val="22"/>
              </w:rPr>
              <w:t>Sesión</w:t>
            </w:r>
            <w:proofErr w:type="spellEnd"/>
            <w:r w:rsidRPr="00FC3119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de apertura</w:t>
            </w:r>
          </w:p>
          <w:p w14:paraId="00C2C521" w14:textId="6DA6384E" w:rsidR="00EA75A5" w:rsidRPr="00FC3119" w:rsidRDefault="004A228B" w:rsidP="00805984">
            <w:pPr>
              <w:pStyle w:val="ListParagraph"/>
              <w:numPr>
                <w:ilvl w:val="0"/>
                <w:numId w:val="35"/>
              </w:numPr>
              <w:jc w:val="left"/>
              <w:rPr>
                <w:rFonts w:ascii="Calibri" w:eastAsia="Times New Roman" w:hAnsi="Calibri" w:cs="Calibri"/>
                <w:sz w:val="22"/>
                <w:lang w:val="es-ES_tradnl"/>
              </w:rPr>
            </w:pPr>
            <w:r w:rsidRPr="00FC3119">
              <w:rPr>
                <w:rFonts w:ascii="Calibri" w:eastAsia="Times New Roman" w:hAnsi="Calibri" w:cs="Calibri"/>
                <w:sz w:val="22"/>
                <w:lang w:val="es-ES_tradnl"/>
              </w:rPr>
              <w:t>Palabras de bienvenida</w:t>
            </w:r>
            <w:r w:rsidR="00FC3119" w:rsidRPr="00FC3119">
              <w:rPr>
                <w:rFonts w:ascii="Calibri" w:eastAsia="Times New Roman" w:hAnsi="Calibri" w:cs="Calibri"/>
                <w:sz w:val="22"/>
                <w:lang w:val="es-ES_tradnl"/>
              </w:rPr>
              <w:t xml:space="preserve"> </w:t>
            </w:r>
            <w:proofErr w:type="spellStart"/>
            <w:r w:rsidR="00FC3119" w:rsidRPr="00FC3119">
              <w:rPr>
                <w:rFonts w:ascii="Calibri" w:eastAsia="Times New Roman" w:hAnsi="Calibri" w:cs="Calibri"/>
                <w:sz w:val="22"/>
                <w:lang w:val="es-ES_tradnl"/>
              </w:rPr>
              <w:t>y</w:t>
            </w:r>
            <w:proofErr w:type="spellEnd"/>
            <w:r w:rsidR="00FC3119" w:rsidRPr="00FC3119">
              <w:rPr>
                <w:rFonts w:ascii="Calibri" w:eastAsia="Times New Roman" w:hAnsi="Calibri" w:cs="Calibri"/>
                <w:sz w:val="22"/>
                <w:lang w:val="es-ES_tradnl"/>
              </w:rPr>
              <w:t xml:space="preserve"> introducción </w:t>
            </w:r>
          </w:p>
          <w:p w14:paraId="416B6170" w14:textId="159D938E" w:rsidR="00EA75A5" w:rsidRPr="00FC3119" w:rsidRDefault="00EA75A5" w:rsidP="00805984">
            <w:pPr>
              <w:jc w:val="left"/>
              <w:rPr>
                <w:rFonts w:ascii="Calibri" w:eastAsia="Times New Roman" w:hAnsi="Calibri" w:cs="Calibri"/>
                <w:sz w:val="22"/>
                <w:lang w:val="es-ES_tradnl"/>
              </w:rPr>
            </w:pPr>
          </w:p>
        </w:tc>
      </w:tr>
      <w:tr w:rsidR="00EA75A5" w:rsidRPr="00FC3119" w14:paraId="5F3D46E9" w14:textId="77777777" w:rsidTr="00EA75A5">
        <w:trPr>
          <w:trHeight w:val="624"/>
        </w:trPr>
        <w:tc>
          <w:tcPr>
            <w:tcW w:w="1560" w:type="dxa"/>
            <w:vAlign w:val="center"/>
          </w:tcPr>
          <w:p w14:paraId="039F52F6" w14:textId="088A71D5" w:rsidR="00EA75A5" w:rsidRPr="001E40B2" w:rsidRDefault="00EA75A5" w:rsidP="001E40B2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 xml:space="preserve">8h30 – </w:t>
            </w:r>
            <w:r w:rsidR="00816DEC">
              <w:rPr>
                <w:rFonts w:ascii="Calibri" w:eastAsia="Times New Roman" w:hAnsi="Calibri" w:cs="Calibri"/>
                <w:sz w:val="22"/>
              </w:rPr>
              <w:t>9</w:t>
            </w:r>
            <w:r>
              <w:rPr>
                <w:rFonts w:ascii="Calibri" w:eastAsia="Times New Roman" w:hAnsi="Calibri" w:cs="Calibri"/>
                <w:sz w:val="22"/>
              </w:rPr>
              <w:t>h00</w:t>
            </w:r>
          </w:p>
        </w:tc>
        <w:tc>
          <w:tcPr>
            <w:tcW w:w="8505" w:type="dxa"/>
            <w:vAlign w:val="center"/>
          </w:tcPr>
          <w:p w14:paraId="123E58C0" w14:textId="77777777" w:rsidR="00EA75A5" w:rsidRPr="001E40B2" w:rsidRDefault="00EA75A5" w:rsidP="001E40B2">
            <w:pPr>
              <w:jc w:val="left"/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  <w:t>Presentación general de la Iniciativa de Comercio de Servicios para el Desarrollo (TS4D)</w:t>
            </w:r>
          </w:p>
          <w:p w14:paraId="7CF8B337" w14:textId="77777777" w:rsidR="00EA75A5" w:rsidRPr="001E40B2" w:rsidRDefault="00EA75A5" w:rsidP="00816DEC">
            <w:pPr>
              <w:jc w:val="left"/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</w:pPr>
          </w:p>
        </w:tc>
      </w:tr>
      <w:tr w:rsidR="00A414AF" w:rsidRPr="00FC3119" w14:paraId="2C31F8B1" w14:textId="77777777" w:rsidTr="00EA75A5">
        <w:trPr>
          <w:trHeight w:val="624"/>
        </w:trPr>
        <w:tc>
          <w:tcPr>
            <w:tcW w:w="1560" w:type="dxa"/>
            <w:vAlign w:val="center"/>
          </w:tcPr>
          <w:p w14:paraId="3870D5D6" w14:textId="0841A150" w:rsidR="00A414AF" w:rsidRDefault="00A414AF" w:rsidP="001E40B2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 xml:space="preserve">9h00 </w:t>
            </w:r>
            <w:r w:rsidR="002336CF">
              <w:rPr>
                <w:rFonts w:ascii="Calibri" w:eastAsia="Times New Roman" w:hAnsi="Calibri" w:cs="Calibri"/>
                <w:sz w:val="22"/>
              </w:rPr>
              <w:t>– 10h15</w:t>
            </w:r>
          </w:p>
        </w:tc>
        <w:tc>
          <w:tcPr>
            <w:tcW w:w="8505" w:type="dxa"/>
            <w:vAlign w:val="center"/>
          </w:tcPr>
          <w:p w14:paraId="2CACBD98" w14:textId="702CF03D" w:rsidR="002336CF" w:rsidRPr="001E40B2" w:rsidRDefault="002336CF" w:rsidP="002336CF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  <w:t xml:space="preserve">Análisis interactivo del Centro </w:t>
            </w:r>
            <w:r w:rsidR="00C6208E" w:rsidRPr="001E40B2"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  <w:t xml:space="preserve">de </w:t>
            </w:r>
            <w:r w:rsidR="00C6208E"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  <w:t xml:space="preserve">datos sobre comercio mundial de servicios </w:t>
            </w:r>
            <w:r w:rsidRPr="001E40B2"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  <w:t>y revisión de las estadísticas disponibles sobre servicios con énfasis en la situación nacional</w:t>
            </w:r>
          </w:p>
          <w:p w14:paraId="79F2366C" w14:textId="77777777" w:rsidR="002336CF" w:rsidRPr="001E40B2" w:rsidRDefault="002336CF" w:rsidP="002336CF">
            <w:pPr>
              <w:spacing w:after="240"/>
              <w:jc w:val="left"/>
              <w:rPr>
                <w:rFonts w:ascii="Calibri" w:eastAsia="Times New Roman" w:hAnsi="Calibri" w:cs="Calibri"/>
                <w:sz w:val="22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sz w:val="22"/>
                <w:lang w:val="es-ES_tradnl"/>
              </w:rPr>
              <w:t xml:space="preserve">La sesión incluirá una demostración en vivo de las estadísticas disponibles sobre el comercio de servicios y un ejercicio práctico diseñado para ayudar a los participantes a aplicar estas herramientas en el análisis de entornos reales de formulación de políticas.   </w:t>
            </w:r>
          </w:p>
          <w:p w14:paraId="271B8BF8" w14:textId="77777777" w:rsidR="00A414AF" w:rsidRDefault="002336CF" w:rsidP="002336CF">
            <w:pPr>
              <w:jc w:val="left"/>
              <w:rPr>
                <w:rFonts w:ascii="Calibri" w:eastAsia="Times New Roman" w:hAnsi="Calibri" w:cs="Calibri"/>
                <w:sz w:val="22"/>
                <w:lang w:val="es-ES_tradnl"/>
              </w:rPr>
            </w:pPr>
            <w:r w:rsidRPr="00B94854">
              <w:rPr>
                <w:rFonts w:ascii="Calibri" w:eastAsia="Times New Roman" w:hAnsi="Calibri" w:cs="Calibri"/>
                <w:sz w:val="22"/>
                <w:lang w:val="es-ES_tradnl"/>
              </w:rPr>
              <w:t>Ejercicio sobre estadísticas del comercio de servicios</w:t>
            </w:r>
          </w:p>
          <w:p w14:paraId="5BC83F51" w14:textId="5C1ED501" w:rsidR="00457029" w:rsidRPr="001E40B2" w:rsidRDefault="00457029" w:rsidP="002336CF">
            <w:pPr>
              <w:jc w:val="left"/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</w:pPr>
          </w:p>
        </w:tc>
      </w:tr>
      <w:tr w:rsidR="00EA75A5" w:rsidRPr="001E40B2" w14:paraId="7070C311" w14:textId="77777777" w:rsidTr="00EA75A5">
        <w:trPr>
          <w:trHeight w:val="532"/>
        </w:trPr>
        <w:tc>
          <w:tcPr>
            <w:tcW w:w="1560" w:type="dxa"/>
            <w:vAlign w:val="center"/>
          </w:tcPr>
          <w:p w14:paraId="047B5A4E" w14:textId="70D4EBA8" w:rsidR="00EA75A5" w:rsidRDefault="00EA75A5" w:rsidP="001E40B2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10h</w:t>
            </w:r>
            <w:r w:rsidR="002336CF">
              <w:rPr>
                <w:rFonts w:ascii="Calibri" w:eastAsia="Times New Roman" w:hAnsi="Calibri" w:cs="Calibri"/>
                <w:sz w:val="22"/>
              </w:rPr>
              <w:t>15</w:t>
            </w:r>
            <w:r>
              <w:rPr>
                <w:rFonts w:ascii="Calibri" w:eastAsia="Times New Roman" w:hAnsi="Calibri" w:cs="Calibri"/>
                <w:sz w:val="22"/>
              </w:rPr>
              <w:t xml:space="preserve"> – 10h</w:t>
            </w:r>
            <w:r w:rsidR="002336CF">
              <w:rPr>
                <w:rFonts w:ascii="Calibri" w:eastAsia="Times New Roman" w:hAnsi="Calibri" w:cs="Calibri"/>
                <w:sz w:val="22"/>
              </w:rPr>
              <w:t>30</w:t>
            </w:r>
          </w:p>
        </w:tc>
        <w:tc>
          <w:tcPr>
            <w:tcW w:w="8505" w:type="dxa"/>
            <w:vAlign w:val="center"/>
          </w:tcPr>
          <w:p w14:paraId="0B4402B5" w14:textId="5046124C" w:rsidR="00EA75A5" w:rsidRPr="000D3B91" w:rsidRDefault="00EA75A5" w:rsidP="000D3B91">
            <w:pPr>
              <w:tabs>
                <w:tab w:val="left" w:pos="720"/>
              </w:tabs>
              <w:spacing w:before="120" w:after="12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lang w:val="es-ES_tradnl"/>
              </w:rPr>
            </w:pPr>
            <w:r w:rsidRPr="000D3B91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lang w:val="es-ES_tradnl"/>
              </w:rPr>
              <w:t>Pausa para café</w:t>
            </w:r>
          </w:p>
        </w:tc>
      </w:tr>
      <w:tr w:rsidR="00EA75A5" w:rsidRPr="00EA75A5" w14:paraId="2BE435EF" w14:textId="77777777" w:rsidTr="00EA75A5">
        <w:trPr>
          <w:trHeight w:val="532"/>
        </w:trPr>
        <w:tc>
          <w:tcPr>
            <w:tcW w:w="1560" w:type="dxa"/>
            <w:vAlign w:val="center"/>
          </w:tcPr>
          <w:p w14:paraId="4CD632EF" w14:textId="734E72DC" w:rsidR="00EA75A5" w:rsidRPr="001E40B2" w:rsidRDefault="00EA75A5" w:rsidP="001E40B2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10h</w:t>
            </w:r>
            <w:r w:rsidR="001C4E29">
              <w:rPr>
                <w:rFonts w:ascii="Calibri" w:eastAsia="Times New Roman" w:hAnsi="Calibri" w:cs="Calibri"/>
                <w:sz w:val="22"/>
              </w:rPr>
              <w:t>30</w:t>
            </w:r>
            <w:r>
              <w:rPr>
                <w:rFonts w:ascii="Calibri" w:eastAsia="Times New Roman" w:hAnsi="Calibri" w:cs="Calibri"/>
                <w:sz w:val="22"/>
              </w:rPr>
              <w:t xml:space="preserve"> – 1</w:t>
            </w:r>
            <w:r w:rsidR="00457029">
              <w:rPr>
                <w:rFonts w:ascii="Calibri" w:eastAsia="Times New Roman" w:hAnsi="Calibri" w:cs="Calibri"/>
                <w:sz w:val="22"/>
              </w:rPr>
              <w:t>2</w:t>
            </w:r>
            <w:r>
              <w:rPr>
                <w:rFonts w:ascii="Calibri" w:eastAsia="Times New Roman" w:hAnsi="Calibri" w:cs="Calibri"/>
                <w:sz w:val="22"/>
              </w:rPr>
              <w:t>h00</w:t>
            </w:r>
          </w:p>
          <w:p w14:paraId="506CCFF1" w14:textId="77777777" w:rsidR="00EA75A5" w:rsidRPr="001E40B2" w:rsidRDefault="00EA75A5" w:rsidP="001E40B2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</w:rPr>
            </w:pPr>
          </w:p>
        </w:tc>
        <w:tc>
          <w:tcPr>
            <w:tcW w:w="8505" w:type="dxa"/>
            <w:vAlign w:val="center"/>
          </w:tcPr>
          <w:p w14:paraId="16731696" w14:textId="77777777" w:rsidR="00457029" w:rsidRDefault="00457029" w:rsidP="00457029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</w:pPr>
            <w:r w:rsidRPr="00EC7A2F"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  <w:t>Acuerdo General sobre el Comercio de Servicios (AGCS)</w:t>
            </w:r>
          </w:p>
          <w:p w14:paraId="583647B1" w14:textId="77777777" w:rsidR="00457029" w:rsidRPr="00EC7A2F" w:rsidRDefault="00457029" w:rsidP="00457029">
            <w:pPr>
              <w:pStyle w:val="ListParagraph"/>
              <w:numPr>
                <w:ilvl w:val="0"/>
                <w:numId w:val="35"/>
              </w:num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sz w:val="22"/>
                <w:lang w:val="es-ES_tradnl"/>
              </w:rPr>
            </w:pPr>
            <w:r w:rsidRPr="00EC7A2F">
              <w:rPr>
                <w:rFonts w:ascii="Calibri" w:eastAsia="Times New Roman" w:hAnsi="Calibri" w:cs="Calibri"/>
                <w:sz w:val="22"/>
                <w:lang w:val="es-ES_tradnl"/>
              </w:rPr>
              <w:t xml:space="preserve">Revisión </w:t>
            </w:r>
          </w:p>
          <w:p w14:paraId="5EC8764B" w14:textId="35692AEA" w:rsidR="00EA75A5" w:rsidRPr="00B94854" w:rsidRDefault="00457029" w:rsidP="00457029">
            <w:pPr>
              <w:pStyle w:val="ListParagraph"/>
              <w:numPr>
                <w:ilvl w:val="0"/>
                <w:numId w:val="35"/>
              </w:numPr>
              <w:spacing w:after="240"/>
              <w:jc w:val="left"/>
              <w:rPr>
                <w:rFonts w:ascii="Calibri" w:eastAsia="Times New Roman" w:hAnsi="Calibri" w:cs="Calibri"/>
                <w:sz w:val="22"/>
                <w:lang w:val="es-ES_tradnl"/>
              </w:rPr>
            </w:pPr>
            <w:r w:rsidRPr="00EC7A2F">
              <w:rPr>
                <w:rFonts w:ascii="Calibri" w:eastAsia="Times New Roman" w:hAnsi="Calibri" w:cs="Calibri"/>
                <w:sz w:val="22"/>
                <w:lang w:val="es-ES_tradnl"/>
              </w:rPr>
              <w:t>Quiz &amp; ejercicio</w:t>
            </w:r>
          </w:p>
        </w:tc>
      </w:tr>
      <w:tr w:rsidR="00EA75A5" w:rsidRPr="001E40B2" w14:paraId="561D7666" w14:textId="77777777" w:rsidTr="00EA75A5">
        <w:trPr>
          <w:trHeight w:val="307"/>
        </w:trPr>
        <w:tc>
          <w:tcPr>
            <w:tcW w:w="1560" w:type="dxa"/>
            <w:shd w:val="clear" w:color="auto" w:fill="EAF1DD"/>
          </w:tcPr>
          <w:p w14:paraId="6CF5EBE3" w14:textId="63739FF9" w:rsidR="00EA75A5" w:rsidRPr="001E40B2" w:rsidRDefault="00EA75A5" w:rsidP="001E40B2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</w:rPr>
            </w:pPr>
            <w:r w:rsidRPr="001E40B2">
              <w:rPr>
                <w:rFonts w:ascii="Calibri" w:eastAsia="Times New Roman" w:hAnsi="Calibri" w:cs="Calibri"/>
                <w:sz w:val="22"/>
              </w:rPr>
              <w:t>1</w:t>
            </w:r>
            <w:r>
              <w:rPr>
                <w:rFonts w:ascii="Calibri" w:eastAsia="Times New Roman" w:hAnsi="Calibri" w:cs="Calibri"/>
                <w:sz w:val="22"/>
              </w:rPr>
              <w:t>2h</w:t>
            </w:r>
            <w:r w:rsidRPr="001E40B2">
              <w:rPr>
                <w:rFonts w:ascii="Calibri" w:eastAsia="Times New Roman" w:hAnsi="Calibri" w:cs="Calibri"/>
                <w:sz w:val="22"/>
              </w:rPr>
              <w:t>00</w:t>
            </w:r>
            <w:r>
              <w:rPr>
                <w:rFonts w:ascii="Calibri" w:eastAsia="Times New Roman" w:hAnsi="Calibri" w:cs="Calibri"/>
                <w:sz w:val="22"/>
              </w:rPr>
              <w:t xml:space="preserve"> </w:t>
            </w:r>
            <w:r w:rsidRPr="001E40B2">
              <w:rPr>
                <w:rFonts w:ascii="Calibri" w:eastAsia="Times New Roman" w:hAnsi="Calibri" w:cs="Calibri"/>
                <w:sz w:val="22"/>
              </w:rPr>
              <w:t>– 1</w:t>
            </w:r>
            <w:r>
              <w:rPr>
                <w:rFonts w:ascii="Calibri" w:eastAsia="Times New Roman" w:hAnsi="Calibri" w:cs="Calibri"/>
                <w:sz w:val="22"/>
              </w:rPr>
              <w:t>3h</w:t>
            </w:r>
            <w:r w:rsidRPr="001E40B2">
              <w:rPr>
                <w:rFonts w:ascii="Calibri" w:eastAsia="Times New Roman" w:hAnsi="Calibri" w:cs="Calibri"/>
                <w:sz w:val="22"/>
              </w:rPr>
              <w:t>00</w:t>
            </w:r>
          </w:p>
        </w:tc>
        <w:tc>
          <w:tcPr>
            <w:tcW w:w="8505" w:type="dxa"/>
            <w:shd w:val="clear" w:color="auto" w:fill="EAF1DD"/>
          </w:tcPr>
          <w:p w14:paraId="31674A0B" w14:textId="77777777" w:rsidR="00EA75A5" w:rsidRPr="001E40B2" w:rsidRDefault="00EA75A5" w:rsidP="001E40B2">
            <w:pPr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E40B2">
              <w:rPr>
                <w:rFonts w:ascii="Calibri" w:eastAsia="Times New Roman" w:hAnsi="Calibri" w:cs="Calibri"/>
                <w:sz w:val="22"/>
              </w:rPr>
              <w:t>ALMUERZO</w:t>
            </w:r>
          </w:p>
        </w:tc>
      </w:tr>
      <w:tr w:rsidR="00EA75A5" w:rsidRPr="00FC3119" w14:paraId="56906908" w14:textId="77777777" w:rsidTr="00EA75A5">
        <w:trPr>
          <w:trHeight w:val="532"/>
        </w:trPr>
        <w:tc>
          <w:tcPr>
            <w:tcW w:w="1560" w:type="dxa"/>
            <w:vAlign w:val="center"/>
          </w:tcPr>
          <w:p w14:paraId="43540A7C" w14:textId="2C54ADC9" w:rsidR="00EA75A5" w:rsidRPr="001E40B2" w:rsidRDefault="00EA75A5" w:rsidP="00076D39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 xml:space="preserve">13h00 </w:t>
            </w:r>
            <w:r w:rsidRPr="001E40B2">
              <w:rPr>
                <w:rFonts w:ascii="Calibri" w:eastAsia="Times New Roman" w:hAnsi="Calibri" w:cs="Calibri"/>
                <w:sz w:val="22"/>
              </w:rPr>
              <w:t>–</w:t>
            </w:r>
            <w:r>
              <w:rPr>
                <w:rFonts w:ascii="Calibri" w:eastAsia="Times New Roman" w:hAnsi="Calibri" w:cs="Calibri"/>
                <w:sz w:val="22"/>
              </w:rPr>
              <w:t xml:space="preserve"> 14h</w:t>
            </w:r>
            <w:r w:rsidR="00076D39">
              <w:rPr>
                <w:rFonts w:ascii="Calibri" w:eastAsia="Times New Roman" w:hAnsi="Calibri" w:cs="Calibri"/>
                <w:sz w:val="22"/>
              </w:rPr>
              <w:t>15</w:t>
            </w:r>
          </w:p>
        </w:tc>
        <w:tc>
          <w:tcPr>
            <w:tcW w:w="8505" w:type="dxa"/>
            <w:vAlign w:val="center"/>
          </w:tcPr>
          <w:p w14:paraId="7CF4EDDA" w14:textId="510B2B12" w:rsidR="006E27BA" w:rsidRPr="001E40B2" w:rsidRDefault="006E27BA" w:rsidP="006E27BA">
            <w:pPr>
              <w:tabs>
                <w:tab w:val="left" w:pos="720"/>
              </w:tabs>
              <w:spacing w:before="60" w:after="60"/>
              <w:contextualSpacing/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  <w:t>Disciplinas del AGCS sobre reglamentación nacional.</w:t>
            </w:r>
          </w:p>
          <w:p w14:paraId="5B55B509" w14:textId="77777777" w:rsidR="006E27BA" w:rsidRPr="001E40B2" w:rsidRDefault="006E27BA" w:rsidP="006E27BA">
            <w:pPr>
              <w:tabs>
                <w:tab w:val="left" w:pos="720"/>
              </w:tabs>
              <w:spacing w:before="60" w:after="60"/>
              <w:contextualSpacing/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</w:pPr>
          </w:p>
          <w:p w14:paraId="020F0964" w14:textId="7F527F92" w:rsidR="006E27BA" w:rsidRPr="001E40B2" w:rsidRDefault="006E27BA" w:rsidP="006E27BA">
            <w:pPr>
              <w:tabs>
                <w:tab w:val="left" w:pos="720"/>
              </w:tabs>
              <w:spacing w:before="60" w:after="60"/>
              <w:contextualSpacing/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 xml:space="preserve">Presentación del Manual </w:t>
            </w:r>
            <w:r w:rsidR="004A228B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 xml:space="preserve">de la </w:t>
            </w:r>
            <w:r w:rsidRPr="001E40B2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>OMC</w:t>
            </w:r>
            <w:r w:rsidR="004A228B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 xml:space="preserve"> y el</w:t>
            </w:r>
            <w:r w:rsidR="00FC3119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 xml:space="preserve"> </w:t>
            </w:r>
            <w:r w:rsidRPr="001E40B2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 xml:space="preserve">Banco Mundial sobre Buenas Prácticas Regulatorias y </w:t>
            </w:r>
            <w:r w:rsidR="004A228B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 xml:space="preserve">de las </w:t>
            </w:r>
            <w:r w:rsidRPr="001E40B2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 xml:space="preserve">herramientas para apoyar la evaluación comparativa </w:t>
            </w:r>
            <w:r w:rsidR="004A228B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>a nivel nacional</w:t>
            </w:r>
            <w:r w:rsidRPr="001E40B2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 xml:space="preserve"> y la identificación de áreas prioritarias para la reforma regulatoria.</w:t>
            </w:r>
          </w:p>
          <w:p w14:paraId="666B4206" w14:textId="17C31897" w:rsidR="00EA75A5" w:rsidRPr="00EC7A2F" w:rsidRDefault="00EA75A5" w:rsidP="001E40B2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</w:pPr>
          </w:p>
        </w:tc>
      </w:tr>
      <w:tr w:rsidR="00076D39" w:rsidRPr="00EC7A2F" w14:paraId="5DEEAFEC" w14:textId="77777777" w:rsidTr="00EA75A5">
        <w:trPr>
          <w:trHeight w:val="532"/>
        </w:trPr>
        <w:tc>
          <w:tcPr>
            <w:tcW w:w="1560" w:type="dxa"/>
            <w:vAlign w:val="center"/>
          </w:tcPr>
          <w:p w14:paraId="3FE0C5B0" w14:textId="7E3FC154" w:rsidR="00076D39" w:rsidRDefault="00076D39" w:rsidP="00076D39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 xml:space="preserve">14h15 </w:t>
            </w:r>
            <w:r w:rsidRPr="001E40B2">
              <w:rPr>
                <w:rFonts w:ascii="Calibri" w:eastAsia="Times New Roman" w:hAnsi="Calibri" w:cs="Calibri"/>
                <w:sz w:val="22"/>
              </w:rPr>
              <w:t>–</w:t>
            </w:r>
            <w:r>
              <w:rPr>
                <w:rFonts w:ascii="Calibri" w:eastAsia="Times New Roman" w:hAnsi="Calibri" w:cs="Calibri"/>
                <w:sz w:val="22"/>
              </w:rPr>
              <w:t xml:space="preserve"> 14h30</w:t>
            </w:r>
          </w:p>
        </w:tc>
        <w:tc>
          <w:tcPr>
            <w:tcW w:w="8505" w:type="dxa"/>
            <w:vAlign w:val="center"/>
          </w:tcPr>
          <w:p w14:paraId="2D0CC502" w14:textId="0563CE68" w:rsidR="00076D39" w:rsidRPr="009A1209" w:rsidRDefault="00076D39" w:rsidP="009A1209">
            <w:pPr>
              <w:tabs>
                <w:tab w:val="left" w:pos="720"/>
              </w:tabs>
              <w:spacing w:before="60" w:after="60"/>
              <w:contextualSpacing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0"/>
                <w:lang w:val="es-ES_tradnl"/>
              </w:rPr>
            </w:pPr>
            <w:r w:rsidRPr="009A1209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0"/>
                <w:lang w:val="es-ES_tradnl"/>
              </w:rPr>
              <w:t>Pausa para caf</w:t>
            </w:r>
            <w:r w:rsidR="009A1209" w:rsidRPr="009A1209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0"/>
                <w:lang w:val="es-ES_tradnl"/>
              </w:rPr>
              <w:t>é</w:t>
            </w:r>
          </w:p>
        </w:tc>
      </w:tr>
      <w:tr w:rsidR="00EA75A5" w:rsidRPr="00FC3119" w14:paraId="0B98686C" w14:textId="77777777" w:rsidTr="00EA75A5">
        <w:trPr>
          <w:trHeight w:val="532"/>
        </w:trPr>
        <w:tc>
          <w:tcPr>
            <w:tcW w:w="1560" w:type="dxa"/>
            <w:vAlign w:val="center"/>
          </w:tcPr>
          <w:p w14:paraId="7D1A4260" w14:textId="448ECE2C" w:rsidR="00EA75A5" w:rsidRPr="001E40B2" w:rsidRDefault="00EA75A5" w:rsidP="000051D4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14h</w:t>
            </w:r>
            <w:r w:rsidR="009A1209">
              <w:rPr>
                <w:rFonts w:ascii="Calibri" w:eastAsia="Times New Roman" w:hAnsi="Calibri" w:cs="Calibri"/>
                <w:sz w:val="22"/>
              </w:rPr>
              <w:t>3</w:t>
            </w:r>
            <w:r>
              <w:rPr>
                <w:rFonts w:ascii="Calibri" w:eastAsia="Times New Roman" w:hAnsi="Calibri" w:cs="Calibri"/>
                <w:sz w:val="22"/>
              </w:rPr>
              <w:t xml:space="preserve">0 </w:t>
            </w:r>
            <w:r w:rsidRPr="001805F0">
              <w:rPr>
                <w:rFonts w:ascii="Calibri" w:eastAsia="Times New Roman" w:hAnsi="Calibri" w:cs="Calibri"/>
                <w:sz w:val="22"/>
              </w:rPr>
              <w:t>–</w:t>
            </w:r>
            <w:r>
              <w:rPr>
                <w:rFonts w:ascii="Calibri" w:eastAsia="Times New Roman" w:hAnsi="Calibri" w:cs="Calibri"/>
                <w:sz w:val="22"/>
              </w:rPr>
              <w:t xml:space="preserve"> 16h00</w:t>
            </w:r>
          </w:p>
        </w:tc>
        <w:tc>
          <w:tcPr>
            <w:tcW w:w="8505" w:type="dxa"/>
            <w:vAlign w:val="center"/>
          </w:tcPr>
          <w:p w14:paraId="2D8A621D" w14:textId="4E9D0491" w:rsidR="00EA75A5" w:rsidRPr="001E40B2" w:rsidRDefault="00EA75A5" w:rsidP="000051D4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  <w:t>Base de datos I-TIP</w:t>
            </w:r>
            <w:r w:rsidR="002F275D"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  <w:t xml:space="preserve"> Servicios</w:t>
            </w:r>
            <w:r w:rsidRPr="001E40B2"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  <w:t xml:space="preserve"> y ejercicio práctic</w:t>
            </w:r>
            <w:r w:rsidR="00BC2E9A"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  <w:t>o</w:t>
            </w:r>
            <w:r w:rsidRPr="001E40B2"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  <w:t xml:space="preserve"> sobre políticas de comercio de servicios</w:t>
            </w:r>
          </w:p>
          <w:p w14:paraId="30E2AB8F" w14:textId="79EFDA53" w:rsidR="00EA75A5" w:rsidRDefault="00EA75A5" w:rsidP="000051D4">
            <w:pPr>
              <w:tabs>
                <w:tab w:val="left" w:pos="720"/>
              </w:tabs>
              <w:spacing w:before="60" w:after="60"/>
              <w:contextualSpacing/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>Se presentará a los participantes el contenido de I-TIP Servicios, con especial atención a la Base de Datos de Políticas relativas al Comercio de Servicios (STPD), el Índice de Restricción del Comercio de Servicios (STRI) y la herramienta de visualización del STRI.</w:t>
            </w:r>
          </w:p>
          <w:p w14:paraId="02DC4932" w14:textId="77777777" w:rsidR="00EA75A5" w:rsidRPr="001E40B2" w:rsidRDefault="00EA75A5" w:rsidP="000051D4">
            <w:pPr>
              <w:tabs>
                <w:tab w:val="left" w:pos="720"/>
              </w:tabs>
              <w:spacing w:before="60" w:after="60"/>
              <w:contextualSpacing/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</w:pPr>
          </w:p>
          <w:p w14:paraId="57F0B823" w14:textId="77777777" w:rsidR="00EA75A5" w:rsidRPr="001E40B2" w:rsidRDefault="00EA75A5" w:rsidP="000051D4">
            <w:pPr>
              <w:numPr>
                <w:ilvl w:val="0"/>
                <w:numId w:val="34"/>
              </w:numPr>
              <w:tabs>
                <w:tab w:val="left" w:pos="720"/>
              </w:tabs>
              <w:spacing w:before="60" w:after="60"/>
              <w:contextualSpacing/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>Ejercicio práctico sobre el uso de la interfaz de I-TIP Servicios.</w:t>
            </w:r>
          </w:p>
          <w:p w14:paraId="5FB07290" w14:textId="516646DB" w:rsidR="00EA75A5" w:rsidRPr="000051D4" w:rsidRDefault="00EA75A5" w:rsidP="000051D4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sz w:val="22"/>
                <w:lang w:val="es-ES_tradnl"/>
              </w:rPr>
            </w:pPr>
          </w:p>
        </w:tc>
      </w:tr>
    </w:tbl>
    <w:p w14:paraId="0AD9BFA6" w14:textId="77777777" w:rsidR="001E40B2" w:rsidRPr="004A228B" w:rsidRDefault="001E40B2" w:rsidP="001E40B2">
      <w:pPr>
        <w:tabs>
          <w:tab w:val="left" w:pos="1954"/>
        </w:tabs>
        <w:rPr>
          <w:rFonts w:ascii="Calibri" w:eastAsia="Times New Roman" w:hAnsi="Calibri" w:cs="Calibri"/>
          <w:sz w:val="24"/>
          <w:szCs w:val="24"/>
          <w:lang w:val="es-ES_tradnl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05"/>
      </w:tblGrid>
      <w:tr w:rsidR="001E40B2" w:rsidRPr="001E40B2" w14:paraId="53DF455A" w14:textId="77777777" w:rsidTr="001E40B2">
        <w:trPr>
          <w:trHeight w:val="467"/>
          <w:tblHeader/>
        </w:trPr>
        <w:tc>
          <w:tcPr>
            <w:tcW w:w="10065" w:type="dxa"/>
            <w:gridSpan w:val="2"/>
            <w:shd w:val="clear" w:color="auto" w:fill="FABF8F"/>
            <w:vAlign w:val="center"/>
          </w:tcPr>
          <w:p w14:paraId="5E99F881" w14:textId="261AA63C" w:rsidR="001E40B2" w:rsidRPr="001E40B2" w:rsidRDefault="006821BB" w:rsidP="001E40B2">
            <w:pPr>
              <w:tabs>
                <w:tab w:val="right" w:pos="1334"/>
              </w:tabs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lastRenderedPageBreak/>
              <w:t xml:space="preserve">Martes, 24 de </w:t>
            </w:r>
            <w:proofErr w:type="spellStart"/>
            <w:r w:rsidR="00C6208E">
              <w:rPr>
                <w:rFonts w:ascii="Calibri" w:eastAsia="Times New Roman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>oviembre</w:t>
            </w:r>
            <w:proofErr w:type="spellEnd"/>
          </w:p>
        </w:tc>
      </w:tr>
      <w:tr w:rsidR="00BC2E9A" w:rsidRPr="00FC3119" w14:paraId="2623E555" w14:textId="77777777" w:rsidTr="00BC2E9A">
        <w:trPr>
          <w:trHeight w:val="2283"/>
        </w:trPr>
        <w:tc>
          <w:tcPr>
            <w:tcW w:w="1560" w:type="dxa"/>
            <w:vAlign w:val="center"/>
          </w:tcPr>
          <w:p w14:paraId="37747B64" w14:textId="3FD7E1FB" w:rsidR="00BC2E9A" w:rsidRPr="001E40B2" w:rsidRDefault="00BC2E9A" w:rsidP="001E40B2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8h00 – 10h00</w:t>
            </w:r>
          </w:p>
        </w:tc>
        <w:tc>
          <w:tcPr>
            <w:tcW w:w="8505" w:type="dxa"/>
            <w:vAlign w:val="center"/>
          </w:tcPr>
          <w:p w14:paraId="0AAE822C" w14:textId="77777777" w:rsidR="00BC2E9A" w:rsidRPr="001E40B2" w:rsidRDefault="00BC2E9A" w:rsidP="001E40B2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  <w:t xml:space="preserve">Acuerdos Comerciales Regionales sobre Servicios: tendencias y características principales </w:t>
            </w:r>
          </w:p>
          <w:p w14:paraId="63C49977" w14:textId="59BC3F84" w:rsidR="00BC2E9A" w:rsidRPr="001E40B2" w:rsidRDefault="00BC2E9A" w:rsidP="001E40B2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 xml:space="preserve">Esta sesión destacará las principales características de los acuerdos comerciales regionales sobre servicios, con especial atención a las diferencias con el AGCS. En particular, se explicarán los conceptos clave </w:t>
            </w:r>
            <w:r w:rsidR="002F275D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>en los que se basan</w:t>
            </w:r>
            <w:r w:rsidRPr="001E40B2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 xml:space="preserve"> los enfoques de listas negativas para la consignación de compromisos y se analizarán sus implicaciones.</w:t>
            </w:r>
          </w:p>
        </w:tc>
      </w:tr>
      <w:tr w:rsidR="00892D53" w:rsidRPr="001E40B2" w14:paraId="30EF0EFE" w14:textId="77777777" w:rsidTr="00892D53">
        <w:trPr>
          <w:trHeight w:val="795"/>
        </w:trPr>
        <w:tc>
          <w:tcPr>
            <w:tcW w:w="1560" w:type="dxa"/>
            <w:vAlign w:val="center"/>
          </w:tcPr>
          <w:p w14:paraId="6FF90004" w14:textId="56EE7DD1" w:rsidR="00892D53" w:rsidRDefault="00892D53" w:rsidP="001E40B2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10h00 – 10h15</w:t>
            </w:r>
          </w:p>
        </w:tc>
        <w:tc>
          <w:tcPr>
            <w:tcW w:w="8505" w:type="dxa"/>
            <w:vAlign w:val="center"/>
          </w:tcPr>
          <w:p w14:paraId="3E8289D9" w14:textId="77D789A4" w:rsidR="00892D53" w:rsidRPr="00892D53" w:rsidRDefault="00892D53" w:rsidP="00892D53">
            <w:pPr>
              <w:tabs>
                <w:tab w:val="left" w:pos="720"/>
              </w:tabs>
              <w:spacing w:before="120" w:after="12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0"/>
                <w:lang w:val="es-ES_tradnl"/>
              </w:rPr>
            </w:pPr>
            <w:r w:rsidRPr="00892D53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0"/>
                <w:lang w:val="es-ES_tradnl"/>
              </w:rPr>
              <w:t>Pausa para café</w:t>
            </w:r>
          </w:p>
        </w:tc>
      </w:tr>
      <w:tr w:rsidR="00BC2E9A" w:rsidRPr="00FC3119" w14:paraId="6EEA171E" w14:textId="77777777" w:rsidTr="00BC2E9A">
        <w:trPr>
          <w:trHeight w:val="690"/>
          <w:tblHeader/>
        </w:trPr>
        <w:tc>
          <w:tcPr>
            <w:tcW w:w="1560" w:type="dxa"/>
            <w:vAlign w:val="center"/>
          </w:tcPr>
          <w:p w14:paraId="4A21AD0B" w14:textId="0062337B" w:rsidR="00BC2E9A" w:rsidRPr="00FC3119" w:rsidRDefault="00C564D3" w:rsidP="001E40B2">
            <w:pPr>
              <w:tabs>
                <w:tab w:val="right" w:pos="1334"/>
              </w:tabs>
              <w:jc w:val="left"/>
              <w:rPr>
                <w:rFonts w:ascii="Calibri" w:eastAsia="Times New Roman" w:hAnsi="Calibri" w:cs="Calibri"/>
                <w:sz w:val="22"/>
              </w:rPr>
            </w:pPr>
            <w:r w:rsidRPr="00FC3119">
              <w:rPr>
                <w:rFonts w:ascii="Calibri" w:eastAsia="Times New Roman" w:hAnsi="Calibri" w:cs="Calibri"/>
                <w:sz w:val="22"/>
              </w:rPr>
              <w:t>10h15 – 1</w:t>
            </w:r>
            <w:r w:rsidR="00C7253A" w:rsidRPr="00FC3119">
              <w:rPr>
                <w:rFonts w:ascii="Calibri" w:eastAsia="Times New Roman" w:hAnsi="Calibri" w:cs="Calibri"/>
                <w:sz w:val="22"/>
              </w:rPr>
              <w:t>1</w:t>
            </w:r>
            <w:r w:rsidRPr="00FC3119">
              <w:rPr>
                <w:rFonts w:ascii="Calibri" w:eastAsia="Times New Roman" w:hAnsi="Calibri" w:cs="Calibri"/>
                <w:sz w:val="22"/>
              </w:rPr>
              <w:t>h00</w:t>
            </w:r>
          </w:p>
        </w:tc>
        <w:tc>
          <w:tcPr>
            <w:tcW w:w="8505" w:type="dxa"/>
            <w:vAlign w:val="center"/>
          </w:tcPr>
          <w:p w14:paraId="1521D23B" w14:textId="0CDEAA8D" w:rsidR="00BC2E9A" w:rsidRPr="00FC3119" w:rsidRDefault="00BC2E9A" w:rsidP="00C564D3">
            <w:pPr>
              <w:tabs>
                <w:tab w:val="left" w:pos="720"/>
              </w:tabs>
              <w:spacing w:before="60" w:after="60"/>
              <w:contextualSpacing/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</w:pPr>
          </w:p>
          <w:p w14:paraId="12EE4015" w14:textId="3ABB5C47" w:rsidR="00EF004F" w:rsidRPr="00FC3119" w:rsidRDefault="002F275D" w:rsidP="00EF004F">
            <w:pPr>
              <w:tabs>
                <w:tab w:val="left" w:pos="720"/>
              </w:tabs>
              <w:spacing w:before="60" w:after="60"/>
              <w:contextualSpacing/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</w:pPr>
            <w:r w:rsidRPr="00FC3119"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  <w:t>Panel de Diagnóstico de la Competitividad del Comercio de Servicios</w:t>
            </w:r>
          </w:p>
          <w:p w14:paraId="49C4CB0D" w14:textId="77777777" w:rsidR="001C4E29" w:rsidRPr="00FC3119" w:rsidRDefault="001C4E29" w:rsidP="00EF004F">
            <w:pPr>
              <w:tabs>
                <w:tab w:val="left" w:pos="720"/>
              </w:tabs>
              <w:spacing w:before="60" w:after="60"/>
              <w:contextualSpacing/>
              <w:rPr>
                <w:rFonts w:ascii="Calibri" w:eastAsia="Times New Roman" w:hAnsi="Calibri" w:cs="Calibri"/>
                <w:sz w:val="22"/>
                <w:szCs w:val="20"/>
              </w:rPr>
            </w:pPr>
          </w:p>
          <w:p w14:paraId="00373CCA" w14:textId="20B585C4" w:rsidR="001C4E29" w:rsidRPr="00FC3119" w:rsidRDefault="001C4E29" w:rsidP="00EF004F">
            <w:pPr>
              <w:tabs>
                <w:tab w:val="left" w:pos="720"/>
              </w:tabs>
              <w:spacing w:before="60" w:after="60"/>
              <w:contextualSpacing/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</w:pPr>
            <w:r w:rsidRPr="00FC3119"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  <w:t>Presentación del Panel de Diagnóstico de la Competitividad del Comercio de Servicios de la OMC y el Banco Mundial, que reúne un conjunto de herramientas e indicadores analíticos, tanto cuantitativos como cualitativos, destinados a evaluar el desempeño y el potencial del sector de servicios y del comercio de servicios en una economía. Esta herramienta está diseñada para ayudar a evaluar la capacidad de una economía para aprovechar el comercio de servicios como motor de crecimiento inclusivo.</w:t>
            </w:r>
          </w:p>
          <w:p w14:paraId="63950F1D" w14:textId="77777777" w:rsidR="00BC2E9A" w:rsidRPr="00FC3119" w:rsidRDefault="00BC2E9A" w:rsidP="00EF004F">
            <w:pPr>
              <w:tabs>
                <w:tab w:val="left" w:pos="720"/>
              </w:tabs>
              <w:spacing w:before="60" w:after="60"/>
              <w:contextualSpacing/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</w:pPr>
          </w:p>
        </w:tc>
      </w:tr>
      <w:tr w:rsidR="00C7253A" w:rsidRPr="00FC3119" w14:paraId="4C0D2317" w14:textId="77777777" w:rsidTr="00BC2E9A">
        <w:trPr>
          <w:trHeight w:val="690"/>
          <w:tblHeader/>
        </w:trPr>
        <w:tc>
          <w:tcPr>
            <w:tcW w:w="1560" w:type="dxa"/>
            <w:vAlign w:val="center"/>
          </w:tcPr>
          <w:p w14:paraId="66C02124" w14:textId="05A12653" w:rsidR="00C7253A" w:rsidRDefault="00C7253A" w:rsidP="001E40B2">
            <w:pPr>
              <w:tabs>
                <w:tab w:val="right" w:pos="1334"/>
              </w:tabs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11h00 – 12h00</w:t>
            </w:r>
          </w:p>
        </w:tc>
        <w:tc>
          <w:tcPr>
            <w:tcW w:w="8505" w:type="dxa"/>
            <w:vAlign w:val="center"/>
          </w:tcPr>
          <w:p w14:paraId="73C4480D" w14:textId="30F71517" w:rsidR="00C7253A" w:rsidRPr="00EF004F" w:rsidRDefault="00EF004F" w:rsidP="00C564D3">
            <w:pPr>
              <w:tabs>
                <w:tab w:val="left" w:pos="720"/>
              </w:tabs>
              <w:spacing w:before="60" w:after="60"/>
              <w:contextualSpacing/>
              <w:rPr>
                <w:rFonts w:ascii="Calibri" w:eastAsia="Times New Roman" w:hAnsi="Calibri" w:cs="Calibri"/>
                <w:sz w:val="22"/>
                <w:szCs w:val="20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  <w:t xml:space="preserve">Ejercicio de grupo: Aplicación del Panel de Competitividad del Comercio de Servicios a Panamá </w:t>
            </w:r>
          </w:p>
        </w:tc>
      </w:tr>
      <w:tr w:rsidR="00BC2E9A" w:rsidRPr="001E40B2" w14:paraId="52AC624B" w14:textId="77777777" w:rsidTr="00BC2E9A">
        <w:trPr>
          <w:trHeight w:val="307"/>
          <w:tblHeader/>
        </w:trPr>
        <w:tc>
          <w:tcPr>
            <w:tcW w:w="1560" w:type="dxa"/>
            <w:shd w:val="clear" w:color="auto" w:fill="EAF1DD"/>
          </w:tcPr>
          <w:p w14:paraId="2585C400" w14:textId="57FE62C7" w:rsidR="00BC2E9A" w:rsidRPr="001E40B2" w:rsidRDefault="00BC2E9A" w:rsidP="001E40B2">
            <w:pPr>
              <w:jc w:val="left"/>
              <w:rPr>
                <w:rFonts w:ascii="Calibri" w:eastAsia="Times New Roman" w:hAnsi="Calibri" w:cs="Calibri"/>
                <w:sz w:val="22"/>
              </w:rPr>
            </w:pPr>
            <w:r w:rsidRPr="001E40B2">
              <w:rPr>
                <w:rFonts w:ascii="Calibri" w:eastAsia="Times New Roman" w:hAnsi="Calibri" w:cs="Calibri"/>
                <w:sz w:val="22"/>
              </w:rPr>
              <w:t>1</w:t>
            </w:r>
            <w:r w:rsidR="00EF004F">
              <w:rPr>
                <w:rFonts w:ascii="Calibri" w:eastAsia="Times New Roman" w:hAnsi="Calibri" w:cs="Calibri"/>
                <w:sz w:val="22"/>
              </w:rPr>
              <w:t>2</w:t>
            </w:r>
            <w:r w:rsidRPr="001E40B2">
              <w:rPr>
                <w:rFonts w:ascii="Calibri" w:eastAsia="Times New Roman" w:hAnsi="Calibri" w:cs="Calibri"/>
                <w:sz w:val="22"/>
              </w:rPr>
              <w:t>:00 – 1</w:t>
            </w:r>
            <w:r w:rsidR="00EF004F">
              <w:rPr>
                <w:rFonts w:ascii="Calibri" w:eastAsia="Times New Roman" w:hAnsi="Calibri" w:cs="Calibri"/>
                <w:sz w:val="22"/>
              </w:rPr>
              <w:t>3</w:t>
            </w:r>
            <w:r w:rsidRPr="001E40B2">
              <w:rPr>
                <w:rFonts w:ascii="Calibri" w:eastAsia="Times New Roman" w:hAnsi="Calibri" w:cs="Calibri"/>
                <w:sz w:val="22"/>
              </w:rPr>
              <w:t>:00</w:t>
            </w:r>
          </w:p>
        </w:tc>
        <w:tc>
          <w:tcPr>
            <w:tcW w:w="8505" w:type="dxa"/>
            <w:shd w:val="clear" w:color="auto" w:fill="EAF1DD"/>
          </w:tcPr>
          <w:p w14:paraId="17BCEF45" w14:textId="77777777" w:rsidR="00BC2E9A" w:rsidRPr="001E40B2" w:rsidRDefault="00BC2E9A" w:rsidP="001E40B2">
            <w:pPr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E40B2">
              <w:rPr>
                <w:rFonts w:ascii="Calibri" w:eastAsia="Times New Roman" w:hAnsi="Calibri" w:cs="Calibri"/>
                <w:sz w:val="22"/>
              </w:rPr>
              <w:t>ALMUERZO</w:t>
            </w:r>
          </w:p>
        </w:tc>
      </w:tr>
      <w:tr w:rsidR="00BC2E9A" w:rsidRPr="00FC3119" w14:paraId="6D55BEFA" w14:textId="77777777" w:rsidTr="00BC2E9A">
        <w:trPr>
          <w:trHeight w:val="33"/>
          <w:tblHeader/>
        </w:trPr>
        <w:tc>
          <w:tcPr>
            <w:tcW w:w="1560" w:type="dxa"/>
            <w:vAlign w:val="center"/>
          </w:tcPr>
          <w:p w14:paraId="644EA320" w14:textId="30A0F399" w:rsidR="00BC2E9A" w:rsidRPr="001E40B2" w:rsidRDefault="00EF004F" w:rsidP="001E40B2">
            <w:pPr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 xml:space="preserve">13h00 – </w:t>
            </w:r>
            <w:r w:rsidR="00673C93">
              <w:rPr>
                <w:rFonts w:ascii="Calibri" w:eastAsia="Times New Roman" w:hAnsi="Calibri" w:cs="Calibri"/>
                <w:sz w:val="22"/>
              </w:rPr>
              <w:t>14h30</w:t>
            </w:r>
          </w:p>
        </w:tc>
        <w:tc>
          <w:tcPr>
            <w:tcW w:w="8505" w:type="dxa"/>
            <w:vAlign w:val="center"/>
          </w:tcPr>
          <w:p w14:paraId="37D4DCB1" w14:textId="77777777" w:rsidR="00BC2E9A" w:rsidRPr="001E40B2" w:rsidRDefault="00BC2E9A" w:rsidP="001E40B2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  <w:t>Ejercicio de grupo: Aplicación del Panel de Competitividad del Comercio de Servicios a Panamá (continuación)</w:t>
            </w:r>
          </w:p>
        </w:tc>
      </w:tr>
      <w:tr w:rsidR="00673C93" w:rsidRPr="009E106C" w14:paraId="1F540682" w14:textId="77777777" w:rsidTr="00BC2E9A">
        <w:trPr>
          <w:trHeight w:val="33"/>
          <w:tblHeader/>
        </w:trPr>
        <w:tc>
          <w:tcPr>
            <w:tcW w:w="1560" w:type="dxa"/>
            <w:vAlign w:val="center"/>
          </w:tcPr>
          <w:p w14:paraId="515672F7" w14:textId="3F0CF9A8" w:rsidR="00673C93" w:rsidRDefault="00673C93" w:rsidP="001E40B2">
            <w:pPr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14h30 – 14h45</w:t>
            </w:r>
          </w:p>
        </w:tc>
        <w:tc>
          <w:tcPr>
            <w:tcW w:w="8505" w:type="dxa"/>
            <w:vAlign w:val="center"/>
          </w:tcPr>
          <w:p w14:paraId="7C854279" w14:textId="696D063D" w:rsidR="00673C93" w:rsidRPr="00673C93" w:rsidRDefault="00673C93" w:rsidP="00673C93">
            <w:pPr>
              <w:tabs>
                <w:tab w:val="left" w:pos="720"/>
              </w:tabs>
              <w:spacing w:before="120" w:after="12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0"/>
                <w:lang w:val="es-ES_tradnl"/>
              </w:rPr>
            </w:pPr>
            <w:r w:rsidRPr="00673C93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0"/>
                <w:lang w:val="es-ES_tradnl"/>
              </w:rPr>
              <w:t>Pausa para café</w:t>
            </w:r>
          </w:p>
        </w:tc>
      </w:tr>
      <w:tr w:rsidR="00444CB9" w:rsidRPr="00FC3119" w14:paraId="2DD8AEFF" w14:textId="77777777" w:rsidTr="00BC2E9A">
        <w:trPr>
          <w:trHeight w:val="33"/>
          <w:tblHeader/>
        </w:trPr>
        <w:tc>
          <w:tcPr>
            <w:tcW w:w="1560" w:type="dxa"/>
            <w:vAlign w:val="center"/>
          </w:tcPr>
          <w:p w14:paraId="105F9191" w14:textId="75BE271B" w:rsidR="00444CB9" w:rsidRDefault="00673C93" w:rsidP="001E40B2">
            <w:pPr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14h45 – 15h30</w:t>
            </w:r>
          </w:p>
        </w:tc>
        <w:tc>
          <w:tcPr>
            <w:tcW w:w="8505" w:type="dxa"/>
            <w:vAlign w:val="center"/>
          </w:tcPr>
          <w:p w14:paraId="3D602E30" w14:textId="31C8BAA6" w:rsidR="00444CB9" w:rsidRPr="001E40B2" w:rsidRDefault="009E106C" w:rsidP="001E40B2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</w:pPr>
            <w:r w:rsidRPr="009E106C"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  <w:t>Presentación de un informe preliminar sobre la aplicación del Panel de Competitividad del Comercio de Servicios a Panamá</w:t>
            </w:r>
          </w:p>
        </w:tc>
      </w:tr>
      <w:tr w:rsidR="00444CB9" w:rsidRPr="00FC3119" w14:paraId="4F07AC74" w14:textId="77777777" w:rsidTr="00BC2E9A">
        <w:trPr>
          <w:trHeight w:val="33"/>
          <w:tblHeader/>
        </w:trPr>
        <w:tc>
          <w:tcPr>
            <w:tcW w:w="1560" w:type="dxa"/>
            <w:vAlign w:val="center"/>
          </w:tcPr>
          <w:p w14:paraId="0F310897" w14:textId="089B0B3F" w:rsidR="00444CB9" w:rsidRPr="009E106C" w:rsidRDefault="00673C93" w:rsidP="001E40B2">
            <w:pPr>
              <w:jc w:val="left"/>
              <w:rPr>
                <w:rFonts w:ascii="Calibri" w:eastAsia="Times New Roman" w:hAnsi="Calibri" w:cs="Calibri"/>
                <w:sz w:val="22"/>
                <w:lang w:val="es-ES_tradnl"/>
              </w:rPr>
            </w:pPr>
            <w:r>
              <w:rPr>
                <w:rFonts w:ascii="Calibri" w:eastAsia="Times New Roman" w:hAnsi="Calibri" w:cs="Calibri"/>
                <w:sz w:val="22"/>
                <w:lang w:val="es-ES_tradnl"/>
              </w:rPr>
              <w:t xml:space="preserve">15h30 </w:t>
            </w:r>
            <w:r>
              <w:rPr>
                <w:rFonts w:ascii="Calibri" w:eastAsia="Times New Roman" w:hAnsi="Calibri" w:cs="Calibri"/>
                <w:sz w:val="22"/>
              </w:rPr>
              <w:t>– 16h00</w:t>
            </w:r>
          </w:p>
        </w:tc>
        <w:tc>
          <w:tcPr>
            <w:tcW w:w="8505" w:type="dxa"/>
            <w:vAlign w:val="center"/>
          </w:tcPr>
          <w:p w14:paraId="0F87FB16" w14:textId="77777777" w:rsidR="00EE66E1" w:rsidRPr="001E40B2" w:rsidRDefault="00EE66E1" w:rsidP="00EE66E1">
            <w:pPr>
              <w:spacing w:after="240"/>
              <w:rPr>
                <w:rFonts w:ascii="Calibri" w:eastAsia="Times New Roman" w:hAnsi="Calibri" w:cs="Calibri"/>
                <w:b/>
                <w:sz w:val="22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b/>
                <w:sz w:val="22"/>
                <w:lang w:val="es-ES_tradnl"/>
              </w:rPr>
              <w:t>Debate sobre las próximas etapas</w:t>
            </w:r>
          </w:p>
          <w:p w14:paraId="6723447F" w14:textId="6EB83270" w:rsidR="00444CB9" w:rsidRPr="001E40B2" w:rsidRDefault="00EE66E1" w:rsidP="00EE66E1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szCs w:val="20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b/>
                <w:sz w:val="22"/>
                <w:lang w:val="es-ES_tradnl"/>
              </w:rPr>
              <w:t>Evaluación del taller y clausura</w:t>
            </w:r>
          </w:p>
        </w:tc>
      </w:tr>
    </w:tbl>
    <w:p w14:paraId="0D8C7289" w14:textId="77777777" w:rsidR="001E40B2" w:rsidRPr="001E40B2" w:rsidRDefault="001E40B2" w:rsidP="001E40B2">
      <w:pPr>
        <w:tabs>
          <w:tab w:val="left" w:pos="1923"/>
        </w:tabs>
        <w:rPr>
          <w:rFonts w:ascii="Calibri" w:eastAsia="Times New Roman" w:hAnsi="Calibri" w:cs="Calibri"/>
          <w:sz w:val="24"/>
          <w:szCs w:val="24"/>
          <w:lang w:val="es-ES_tradnl"/>
        </w:rPr>
      </w:pPr>
    </w:p>
    <w:p w14:paraId="6012B308" w14:textId="77777777" w:rsidR="001E40B2" w:rsidRPr="001E40B2" w:rsidRDefault="001E40B2" w:rsidP="001E40B2">
      <w:pPr>
        <w:tabs>
          <w:tab w:val="left" w:pos="1923"/>
        </w:tabs>
        <w:rPr>
          <w:rFonts w:ascii="Calibri" w:eastAsia="Times New Roman" w:hAnsi="Calibri" w:cs="Calibri"/>
          <w:szCs w:val="18"/>
          <w:lang w:val="es-ES_tradnl"/>
        </w:rPr>
      </w:pPr>
      <w:r w:rsidRPr="001E40B2">
        <w:rPr>
          <w:rFonts w:ascii="Calibri" w:eastAsia="Times New Roman" w:hAnsi="Calibri" w:cs="Calibri"/>
          <w:szCs w:val="18"/>
          <w:lang w:val="es-ES_tradnl"/>
        </w:rPr>
        <w:t xml:space="preserve"> </w:t>
      </w:r>
    </w:p>
    <w:p w14:paraId="70BBB8EA" w14:textId="33F534FB" w:rsidR="001E40B2" w:rsidRDefault="001E40B2" w:rsidP="00052141">
      <w:pPr>
        <w:jc w:val="left"/>
        <w:rPr>
          <w:rFonts w:ascii="Calibri" w:eastAsia="Times New Roman" w:hAnsi="Calibri" w:cs="Calibri"/>
          <w:szCs w:val="18"/>
          <w:lang w:val="es-ES_tradnl"/>
        </w:rPr>
      </w:pPr>
    </w:p>
    <w:p w14:paraId="067E855A" w14:textId="77777777" w:rsidR="00FD414B" w:rsidRDefault="00FD414B" w:rsidP="00052141">
      <w:pPr>
        <w:jc w:val="left"/>
        <w:rPr>
          <w:rFonts w:ascii="Calibri" w:eastAsia="Times New Roman" w:hAnsi="Calibri" w:cs="Calibri"/>
          <w:szCs w:val="18"/>
          <w:lang w:val="es-ES_tradnl"/>
        </w:rPr>
      </w:pPr>
    </w:p>
    <w:p w14:paraId="13B7013A" w14:textId="77777777" w:rsidR="00FD414B" w:rsidRDefault="00FD414B" w:rsidP="00052141">
      <w:pPr>
        <w:jc w:val="left"/>
        <w:rPr>
          <w:rFonts w:ascii="Calibri" w:eastAsia="Times New Roman" w:hAnsi="Calibri" w:cs="Calibri"/>
          <w:szCs w:val="18"/>
          <w:lang w:val="es-ES_tradnl"/>
        </w:rPr>
      </w:pPr>
    </w:p>
    <w:p w14:paraId="76E949F9" w14:textId="77777777" w:rsidR="00FD414B" w:rsidRDefault="00FD414B" w:rsidP="00052141">
      <w:pPr>
        <w:jc w:val="left"/>
        <w:rPr>
          <w:rFonts w:ascii="Calibri" w:eastAsia="Times New Roman" w:hAnsi="Calibri" w:cs="Calibri"/>
          <w:szCs w:val="18"/>
          <w:lang w:val="es-ES_tradnl"/>
        </w:rPr>
      </w:pPr>
    </w:p>
    <w:p w14:paraId="021A94A1" w14:textId="77777777" w:rsidR="00FD414B" w:rsidRDefault="00FD414B" w:rsidP="00052141">
      <w:pPr>
        <w:jc w:val="left"/>
        <w:rPr>
          <w:rFonts w:ascii="Calibri" w:eastAsia="Times New Roman" w:hAnsi="Calibri" w:cs="Calibri"/>
          <w:szCs w:val="18"/>
          <w:lang w:val="es-ES_tradnl"/>
        </w:rPr>
      </w:pPr>
    </w:p>
    <w:p w14:paraId="2231A2F5" w14:textId="77777777" w:rsidR="00FD414B" w:rsidRDefault="00FD414B" w:rsidP="00052141">
      <w:pPr>
        <w:jc w:val="left"/>
        <w:rPr>
          <w:rFonts w:ascii="Calibri" w:eastAsia="Times New Roman" w:hAnsi="Calibri" w:cs="Calibri"/>
          <w:szCs w:val="18"/>
          <w:lang w:val="es-ES_tradnl"/>
        </w:rPr>
      </w:pPr>
    </w:p>
    <w:p w14:paraId="2FC538CF" w14:textId="77777777" w:rsidR="00FD414B" w:rsidRDefault="00FD414B" w:rsidP="00052141">
      <w:pPr>
        <w:jc w:val="left"/>
        <w:rPr>
          <w:rFonts w:ascii="Calibri" w:eastAsia="Times New Roman" w:hAnsi="Calibri" w:cs="Calibri"/>
          <w:szCs w:val="18"/>
          <w:lang w:val="es-ES_tradnl"/>
        </w:rPr>
      </w:pPr>
    </w:p>
    <w:p w14:paraId="61E76531" w14:textId="77777777" w:rsidR="00FD414B" w:rsidRDefault="00FD414B" w:rsidP="00052141">
      <w:pPr>
        <w:jc w:val="left"/>
        <w:rPr>
          <w:rFonts w:ascii="Calibri" w:eastAsia="Times New Roman" w:hAnsi="Calibri" w:cs="Calibri"/>
          <w:szCs w:val="18"/>
          <w:lang w:val="es-ES_tradnl"/>
        </w:rPr>
      </w:pPr>
    </w:p>
    <w:p w14:paraId="007659F4" w14:textId="77777777" w:rsidR="00FD414B" w:rsidRDefault="00FD414B" w:rsidP="00052141">
      <w:pPr>
        <w:jc w:val="left"/>
        <w:rPr>
          <w:rFonts w:ascii="Calibri" w:eastAsia="Times New Roman" w:hAnsi="Calibri" w:cs="Calibri"/>
          <w:szCs w:val="18"/>
          <w:lang w:val="es-ES_tradnl"/>
        </w:rPr>
      </w:pPr>
    </w:p>
    <w:p w14:paraId="47FFE073" w14:textId="77777777" w:rsidR="00FD414B" w:rsidRDefault="00FD414B" w:rsidP="00052141">
      <w:pPr>
        <w:jc w:val="left"/>
        <w:rPr>
          <w:rFonts w:ascii="Calibri" w:eastAsia="Times New Roman" w:hAnsi="Calibri" w:cs="Calibri"/>
          <w:szCs w:val="18"/>
          <w:lang w:val="es-ES_tradnl"/>
        </w:rPr>
      </w:pPr>
    </w:p>
    <w:p w14:paraId="7F3180A4" w14:textId="77777777" w:rsidR="00FD414B" w:rsidRDefault="00FD414B" w:rsidP="00052141">
      <w:pPr>
        <w:jc w:val="left"/>
        <w:rPr>
          <w:rFonts w:ascii="Calibri" w:eastAsia="Times New Roman" w:hAnsi="Calibri" w:cs="Calibri"/>
          <w:szCs w:val="18"/>
          <w:lang w:val="es-ES_tradnl"/>
        </w:rPr>
      </w:pPr>
    </w:p>
    <w:p w14:paraId="745718F5" w14:textId="77777777" w:rsidR="00FD414B" w:rsidRDefault="00FD414B" w:rsidP="00052141">
      <w:pPr>
        <w:jc w:val="left"/>
        <w:rPr>
          <w:rFonts w:ascii="Calibri" w:eastAsia="Times New Roman" w:hAnsi="Calibri" w:cs="Calibri"/>
          <w:szCs w:val="18"/>
          <w:lang w:val="es-ES_tradnl"/>
        </w:rPr>
      </w:pPr>
    </w:p>
    <w:p w14:paraId="668862B1" w14:textId="77777777" w:rsidR="00FD414B" w:rsidRDefault="00FD414B" w:rsidP="00052141">
      <w:pPr>
        <w:jc w:val="left"/>
        <w:rPr>
          <w:rFonts w:ascii="Calibri" w:eastAsia="Times New Roman" w:hAnsi="Calibri" w:cs="Calibri"/>
          <w:szCs w:val="18"/>
          <w:lang w:val="es-ES_tradnl"/>
        </w:rPr>
      </w:pPr>
    </w:p>
    <w:p w14:paraId="226D8D77" w14:textId="77777777" w:rsidR="00FD414B" w:rsidRDefault="00FD414B" w:rsidP="00052141">
      <w:pPr>
        <w:jc w:val="left"/>
        <w:rPr>
          <w:rFonts w:ascii="Calibri" w:eastAsia="Times New Roman" w:hAnsi="Calibri" w:cs="Calibri"/>
          <w:b/>
          <w:sz w:val="28"/>
          <w:szCs w:val="28"/>
          <w:lang w:val="es-ES_tradnl"/>
        </w:rPr>
      </w:pPr>
    </w:p>
    <w:p w14:paraId="685E8A4A" w14:textId="77777777" w:rsidR="00FC3119" w:rsidRDefault="00FC3119" w:rsidP="00052141">
      <w:pPr>
        <w:jc w:val="left"/>
        <w:rPr>
          <w:rFonts w:ascii="Calibri" w:eastAsia="Times New Roman" w:hAnsi="Calibri" w:cs="Calibri"/>
          <w:b/>
          <w:sz w:val="28"/>
          <w:szCs w:val="28"/>
          <w:lang w:val="es-ES_tradnl"/>
        </w:rPr>
      </w:pPr>
    </w:p>
    <w:p w14:paraId="3800ED91" w14:textId="77777777" w:rsidR="00FC3119" w:rsidRPr="004A228B" w:rsidRDefault="00FC3119" w:rsidP="00052141">
      <w:pPr>
        <w:jc w:val="left"/>
        <w:rPr>
          <w:rFonts w:ascii="Calibri" w:eastAsia="Times New Roman" w:hAnsi="Calibri" w:cs="Calibri"/>
          <w:b/>
          <w:sz w:val="28"/>
          <w:szCs w:val="28"/>
          <w:lang w:val="es-ES_tradnl"/>
        </w:rPr>
      </w:pPr>
    </w:p>
    <w:p w14:paraId="69045939" w14:textId="6DC4A285" w:rsidR="00805984" w:rsidRPr="00FC3119" w:rsidRDefault="00C6208E" w:rsidP="008E372C">
      <w:pPr>
        <w:rPr>
          <w:lang w:val="es-ES_tradnl"/>
        </w:rPr>
      </w:pPr>
      <w:r w:rsidRPr="00FC3119">
        <w:rPr>
          <w:lang w:val="es-ES_tradnl"/>
        </w:rPr>
        <w:t>Este taller presencial estará pr</w:t>
      </w:r>
      <w:r>
        <w:rPr>
          <w:lang w:val="es-ES_tradnl"/>
        </w:rPr>
        <w:t>ecedido de dos sesiones virtuales:</w:t>
      </w:r>
    </w:p>
    <w:p w14:paraId="3192EDE0" w14:textId="77777777" w:rsidR="00805984" w:rsidRPr="00FC3119" w:rsidRDefault="00805984" w:rsidP="008E372C">
      <w:pPr>
        <w:rPr>
          <w:lang w:val="es-ES_tradnl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080"/>
      </w:tblGrid>
      <w:tr w:rsidR="00B718FB" w:rsidRPr="00E95C8B" w14:paraId="7652EC67" w14:textId="77777777" w:rsidTr="000E322A">
        <w:trPr>
          <w:trHeight w:val="532"/>
        </w:trPr>
        <w:tc>
          <w:tcPr>
            <w:tcW w:w="1701" w:type="dxa"/>
            <w:vAlign w:val="center"/>
          </w:tcPr>
          <w:p w14:paraId="3C51FD38" w14:textId="1FE2929F" w:rsidR="000E322A" w:rsidRPr="00FC3119" w:rsidRDefault="000E322A" w:rsidP="00DB6280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  <w:lang w:val="es-ES_tradnl"/>
              </w:rPr>
            </w:pPr>
            <w:r w:rsidRPr="00FC3119">
              <w:rPr>
                <w:rFonts w:ascii="Calibri" w:eastAsia="Times New Roman" w:hAnsi="Calibri" w:cs="Calibri"/>
                <w:sz w:val="22"/>
                <w:lang w:val="es-ES_tradnl"/>
              </w:rPr>
              <w:t>[</w:t>
            </w:r>
            <w:r w:rsidR="00C6208E" w:rsidRPr="00FC3119">
              <w:rPr>
                <w:rFonts w:ascii="Calibri" w:eastAsia="Times New Roman" w:hAnsi="Calibri" w:cs="Calibri"/>
                <w:sz w:val="22"/>
                <w:lang w:val="es-ES_tradnl"/>
              </w:rPr>
              <w:t>fecha por confirmar</w:t>
            </w:r>
            <w:r w:rsidRPr="00FC3119">
              <w:rPr>
                <w:rFonts w:ascii="Calibri" w:eastAsia="Times New Roman" w:hAnsi="Calibri" w:cs="Calibri"/>
                <w:sz w:val="22"/>
                <w:lang w:val="es-ES_tradnl"/>
              </w:rPr>
              <w:t>]</w:t>
            </w:r>
          </w:p>
          <w:p w14:paraId="258E7209" w14:textId="521FB221" w:rsidR="00B718FB" w:rsidRPr="00FC3119" w:rsidRDefault="000E322A" w:rsidP="00DB6280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  <w:lang w:val="es-ES_tradnl"/>
              </w:rPr>
            </w:pPr>
            <w:r w:rsidRPr="00FC3119">
              <w:rPr>
                <w:rFonts w:ascii="Calibri" w:eastAsia="Times New Roman" w:hAnsi="Calibri" w:cs="Calibri"/>
                <w:sz w:val="22"/>
                <w:lang w:val="es-ES_tradnl"/>
              </w:rPr>
              <w:t>[dura</w:t>
            </w:r>
            <w:r w:rsidR="00C6208E">
              <w:rPr>
                <w:rFonts w:ascii="Calibri" w:eastAsia="Times New Roman" w:hAnsi="Calibri" w:cs="Calibri"/>
                <w:sz w:val="22"/>
                <w:lang w:val="es-ES_tradnl"/>
              </w:rPr>
              <w:t>ción</w:t>
            </w:r>
            <w:r w:rsidRPr="00FC3119">
              <w:rPr>
                <w:rFonts w:ascii="Calibri" w:eastAsia="Times New Roman" w:hAnsi="Calibri" w:cs="Calibri"/>
                <w:sz w:val="22"/>
                <w:lang w:val="es-ES_tradnl"/>
              </w:rPr>
              <w:t>: 1h30]</w:t>
            </w:r>
          </w:p>
        </w:tc>
        <w:tc>
          <w:tcPr>
            <w:tcW w:w="8080" w:type="dxa"/>
            <w:vAlign w:val="center"/>
          </w:tcPr>
          <w:p w14:paraId="5FD84BD0" w14:textId="77777777" w:rsidR="00B718FB" w:rsidRPr="001E40B2" w:rsidRDefault="00B718FB" w:rsidP="00E95C8B">
            <w:pPr>
              <w:jc w:val="left"/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  <w:t xml:space="preserve">Principales tendencias en el comercio de servicios: la evolución de la contribución del comercio de servicios a los objetivos de desarrollo. </w:t>
            </w:r>
          </w:p>
          <w:p w14:paraId="07E14933" w14:textId="77777777" w:rsidR="00B718FB" w:rsidRPr="001E40B2" w:rsidRDefault="00B718FB" w:rsidP="00E95C8B">
            <w:pPr>
              <w:jc w:val="left"/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</w:pPr>
          </w:p>
          <w:p w14:paraId="68C1ECD0" w14:textId="3BB38D4D" w:rsidR="00B718FB" w:rsidRDefault="00B718FB" w:rsidP="00E95C8B">
            <w:pPr>
              <w:jc w:val="left"/>
              <w:rPr>
                <w:rFonts w:ascii="Calibri" w:eastAsia="Times New Roman" w:hAnsi="Calibri" w:cs="Calibri"/>
                <w:sz w:val="22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sz w:val="22"/>
                <w:lang w:val="es-ES_tradnl"/>
              </w:rPr>
              <w:t>Esta sesión examinará los desarrollos recientes y las tendencias emergentes en el comercio mundial y regional de servicios, con especial atención a los países en desarrollo y al impacto de la digitalización. También analizará la contribución cambiante de las políticas de comercio de servicios a las estrategias de desarrollo.</w:t>
            </w:r>
            <w:r w:rsidR="00FD414B">
              <w:rPr>
                <w:rFonts w:ascii="Calibri" w:eastAsia="Times New Roman" w:hAnsi="Calibri" w:cs="Calibri"/>
                <w:sz w:val="22"/>
                <w:lang w:val="es-ES_tradnl"/>
              </w:rPr>
              <w:t xml:space="preserve"> </w:t>
            </w:r>
          </w:p>
          <w:p w14:paraId="64B97BD7" w14:textId="4692B063" w:rsidR="00B718FB" w:rsidRPr="001E40B2" w:rsidRDefault="00FD414B" w:rsidP="00DB6280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b/>
                <w:bCs/>
                <w:sz w:val="22"/>
              </w:rPr>
              <w:t>Q&amp;A</w:t>
            </w:r>
          </w:p>
        </w:tc>
      </w:tr>
      <w:tr w:rsidR="00B718FB" w:rsidRPr="001E40B2" w14:paraId="159386F1" w14:textId="77777777" w:rsidTr="000E322A">
        <w:trPr>
          <w:trHeight w:val="532"/>
        </w:trPr>
        <w:tc>
          <w:tcPr>
            <w:tcW w:w="1701" w:type="dxa"/>
            <w:vAlign w:val="center"/>
          </w:tcPr>
          <w:p w14:paraId="330AA6B3" w14:textId="6659CEB7" w:rsidR="000E322A" w:rsidRPr="00FC3119" w:rsidRDefault="000E322A" w:rsidP="000E322A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  <w:lang w:val="es-ES_tradnl"/>
              </w:rPr>
            </w:pPr>
            <w:r w:rsidRPr="00FC3119">
              <w:rPr>
                <w:rFonts w:ascii="Calibri" w:eastAsia="Times New Roman" w:hAnsi="Calibri" w:cs="Calibri"/>
                <w:sz w:val="22"/>
                <w:lang w:val="es-ES_tradnl"/>
              </w:rPr>
              <w:t>[</w:t>
            </w:r>
            <w:r w:rsidR="00C6208E" w:rsidRPr="00FC3119">
              <w:rPr>
                <w:rFonts w:ascii="Calibri" w:eastAsia="Times New Roman" w:hAnsi="Calibri" w:cs="Calibri"/>
                <w:sz w:val="22"/>
                <w:lang w:val="es-ES_tradnl"/>
              </w:rPr>
              <w:t>fecha por confirmar</w:t>
            </w:r>
            <w:r w:rsidRPr="00FC3119">
              <w:rPr>
                <w:rFonts w:ascii="Calibri" w:eastAsia="Times New Roman" w:hAnsi="Calibri" w:cs="Calibri"/>
                <w:sz w:val="22"/>
                <w:lang w:val="es-ES_tradnl"/>
              </w:rPr>
              <w:t>]</w:t>
            </w:r>
          </w:p>
          <w:p w14:paraId="7BA11346" w14:textId="4A9FF970" w:rsidR="00B718FB" w:rsidRPr="00E95C8B" w:rsidRDefault="000E322A" w:rsidP="000E322A">
            <w:pPr>
              <w:tabs>
                <w:tab w:val="right" w:pos="1334"/>
              </w:tabs>
              <w:ind w:left="-57"/>
              <w:jc w:val="left"/>
              <w:rPr>
                <w:rFonts w:ascii="Calibri" w:eastAsia="Times New Roman" w:hAnsi="Calibri" w:cs="Calibri"/>
                <w:sz w:val="22"/>
                <w:lang w:val="es-ES_tradnl"/>
              </w:rPr>
            </w:pPr>
            <w:r w:rsidRPr="00FC3119">
              <w:rPr>
                <w:rFonts w:ascii="Calibri" w:eastAsia="Times New Roman" w:hAnsi="Calibri" w:cs="Calibri"/>
                <w:sz w:val="22"/>
                <w:lang w:val="es-ES_tradnl"/>
              </w:rPr>
              <w:t>[dura</w:t>
            </w:r>
            <w:r w:rsidR="00C6208E">
              <w:rPr>
                <w:rFonts w:ascii="Calibri" w:eastAsia="Times New Roman" w:hAnsi="Calibri" w:cs="Calibri"/>
                <w:sz w:val="22"/>
                <w:lang w:val="es-ES_tradnl"/>
              </w:rPr>
              <w:t>ción</w:t>
            </w:r>
            <w:r w:rsidRPr="00FC3119">
              <w:rPr>
                <w:rFonts w:ascii="Calibri" w:eastAsia="Times New Roman" w:hAnsi="Calibri" w:cs="Calibri"/>
                <w:sz w:val="22"/>
                <w:lang w:val="es-ES_tradnl"/>
              </w:rPr>
              <w:t>: 1h30]</w:t>
            </w:r>
          </w:p>
        </w:tc>
        <w:tc>
          <w:tcPr>
            <w:tcW w:w="8080" w:type="dxa"/>
            <w:vAlign w:val="center"/>
          </w:tcPr>
          <w:p w14:paraId="6D6D5665" w14:textId="11CACE8D" w:rsidR="00B718FB" w:rsidRPr="001E40B2" w:rsidRDefault="00B718FB" w:rsidP="00DB6280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  <w:t>Revisión del Acuerdo General sobre el Comercio de Servicios (AGCS)</w:t>
            </w:r>
            <w:r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  <w:t xml:space="preserve">, </w:t>
            </w:r>
            <w:r w:rsidRPr="001E40B2"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  <w:t>sus principales obligaciones</w:t>
            </w:r>
            <w:r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  <w:t>, y listas des compromisos</w:t>
            </w:r>
          </w:p>
          <w:p w14:paraId="1698452C" w14:textId="73775B61" w:rsidR="00B718FB" w:rsidRPr="001E40B2" w:rsidRDefault="00B718FB" w:rsidP="00DB6280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sz w:val="22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sz w:val="22"/>
                <w:lang w:val="es-ES_tradnl"/>
              </w:rPr>
              <w:t>Esta sesión examinará los aspectos fundamentales del Acuerdo General sobre el Comercio de Servicios (AGCS), incluyendo su alcance y sus principales obligaciones</w:t>
            </w:r>
            <w:r w:rsidR="000A0D98">
              <w:rPr>
                <w:rFonts w:ascii="Calibri" w:eastAsia="Times New Roman" w:hAnsi="Calibri" w:cs="Calibri"/>
                <w:sz w:val="22"/>
                <w:lang w:val="es-ES_tradnl"/>
              </w:rPr>
              <w:t xml:space="preserve">, </w:t>
            </w:r>
            <w:r w:rsidR="00373E19">
              <w:rPr>
                <w:rFonts w:ascii="Calibri" w:eastAsia="Times New Roman" w:hAnsi="Calibri" w:cs="Calibri"/>
                <w:sz w:val="22"/>
                <w:lang w:val="es-ES_tradnl"/>
              </w:rPr>
              <w:t xml:space="preserve">y </w:t>
            </w:r>
            <w:r w:rsidR="000A0D98">
              <w:rPr>
                <w:rFonts w:ascii="Calibri" w:eastAsia="Times New Roman" w:hAnsi="Calibri" w:cs="Calibri"/>
                <w:sz w:val="22"/>
                <w:lang w:val="es-ES_tradnl"/>
              </w:rPr>
              <w:t>sus listas de compromisos</w:t>
            </w:r>
            <w:r w:rsidR="00373E19">
              <w:rPr>
                <w:rFonts w:ascii="Calibri" w:eastAsia="Times New Roman" w:hAnsi="Calibri" w:cs="Calibri"/>
                <w:sz w:val="22"/>
                <w:lang w:val="es-ES_tradnl"/>
              </w:rPr>
              <w:t xml:space="preserve"> específicos</w:t>
            </w:r>
            <w:r w:rsidRPr="001E40B2">
              <w:rPr>
                <w:rFonts w:ascii="Calibri" w:eastAsia="Times New Roman" w:hAnsi="Calibri" w:cs="Calibri"/>
                <w:sz w:val="22"/>
                <w:lang w:val="es-ES_tradnl"/>
              </w:rPr>
              <w:t>.</w:t>
            </w:r>
          </w:p>
          <w:p w14:paraId="6AA272C9" w14:textId="77777777" w:rsidR="00B718FB" w:rsidRPr="001E40B2" w:rsidRDefault="00B718FB" w:rsidP="00DB6280">
            <w:pPr>
              <w:tabs>
                <w:tab w:val="left" w:pos="720"/>
              </w:tabs>
              <w:spacing w:before="120" w:after="120"/>
              <w:rPr>
                <w:rFonts w:ascii="Calibri" w:eastAsia="Times New Roman" w:hAnsi="Calibri" w:cs="Calibri"/>
                <w:b/>
                <w:bCs/>
                <w:sz w:val="22"/>
                <w:lang w:val="es-ES_tradnl"/>
              </w:rPr>
            </w:pPr>
            <w:r w:rsidRPr="001E40B2">
              <w:rPr>
                <w:rFonts w:ascii="Calibri" w:eastAsia="Times New Roman" w:hAnsi="Calibri" w:cs="Calibri"/>
                <w:b/>
                <w:bCs/>
                <w:sz w:val="22"/>
              </w:rPr>
              <w:t>Q&amp;A</w:t>
            </w:r>
          </w:p>
        </w:tc>
      </w:tr>
    </w:tbl>
    <w:p w14:paraId="1534DA28" w14:textId="77777777" w:rsidR="00805984" w:rsidRPr="00805984" w:rsidRDefault="00805984" w:rsidP="008E372C"/>
    <w:sectPr w:rsidR="00805984" w:rsidRPr="00805984" w:rsidSect="00294A49">
      <w:headerReference w:type="default" r:id="rId8"/>
      <w:headerReference w:type="first" r:id="rId9"/>
      <w:footerReference w:type="first" r:id="rId10"/>
      <w:type w:val="continuous"/>
      <w:pgSz w:w="11906" w:h="16838" w:code="9"/>
      <w:pgMar w:top="567" w:right="1440" w:bottom="340" w:left="1440" w:header="731" w:footer="306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B65DF" w14:textId="77777777" w:rsidR="00304C9F" w:rsidRDefault="00304C9F" w:rsidP="00ED54E0">
      <w:r>
        <w:separator/>
      </w:r>
    </w:p>
  </w:endnote>
  <w:endnote w:type="continuationSeparator" w:id="0">
    <w:p w14:paraId="2D23D0C0" w14:textId="77777777" w:rsidR="00304C9F" w:rsidRDefault="00304C9F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45F77" w14:textId="56EEBCF0" w:rsidR="00294A49" w:rsidRPr="00FD248F" w:rsidRDefault="00294A49" w:rsidP="00805984">
    <w:pPr>
      <w:pBdr>
        <w:top w:val="single" w:sz="4" w:space="6" w:color="auto"/>
      </w:pBdr>
      <w:tabs>
        <w:tab w:val="left" w:pos="7230"/>
        <w:tab w:val="right" w:pos="10206"/>
      </w:tabs>
      <w:spacing w:line="198" w:lineRule="exact"/>
      <w:ind w:right="-2"/>
      <w:rPr>
        <w:sz w:val="16"/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48EA5" w14:textId="77777777" w:rsidR="00304C9F" w:rsidRDefault="00304C9F" w:rsidP="00ED54E0">
      <w:r>
        <w:separator/>
      </w:r>
    </w:p>
  </w:footnote>
  <w:footnote w:type="continuationSeparator" w:id="0">
    <w:p w14:paraId="638D9DAE" w14:textId="77777777" w:rsidR="00304C9F" w:rsidRDefault="00304C9F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D8E60" w14:textId="77777777" w:rsidR="00294A49" w:rsidRPr="00294A49" w:rsidRDefault="00294A49" w:rsidP="00294A49">
    <w:pPr>
      <w:pBdr>
        <w:bottom w:val="single" w:sz="4" w:space="6" w:color="auto"/>
      </w:pBdr>
      <w:tabs>
        <w:tab w:val="left" w:pos="-720"/>
        <w:tab w:val="right" w:pos="8931"/>
      </w:tabs>
      <w:jc w:val="center"/>
      <w:rPr>
        <w:b/>
        <w:smallCaps/>
        <w:sz w:val="28"/>
        <w:lang w:val="es-ES"/>
      </w:rPr>
    </w:pPr>
    <w:proofErr w:type="gramStart"/>
    <w:r w:rsidRPr="00294A49">
      <w:rPr>
        <w:b/>
        <w:smallCaps/>
        <w:sz w:val="24"/>
        <w:lang w:val="es-ES"/>
      </w:rPr>
      <w:t>WTO  OMC</w:t>
    </w:r>
    <w:proofErr w:type="gramEnd"/>
  </w:p>
  <w:p w14:paraId="27CBFA21" w14:textId="77777777" w:rsidR="00294A49" w:rsidRPr="00294A49" w:rsidRDefault="00294A49" w:rsidP="00294A49">
    <w:pPr>
      <w:pBdr>
        <w:bottom w:val="single" w:sz="4" w:space="6" w:color="auto"/>
      </w:pBdr>
      <w:tabs>
        <w:tab w:val="left" w:pos="-720"/>
        <w:tab w:val="right" w:pos="8931"/>
      </w:tabs>
      <w:jc w:val="center"/>
      <w:rPr>
        <w:lang w:val="es-ES"/>
      </w:rPr>
    </w:pPr>
    <w:r w:rsidRPr="00294A49">
      <w:rPr>
        <w:lang w:val="es-ES"/>
      </w:rPr>
      <w:fldChar w:fldCharType="begin"/>
    </w:r>
    <w:r w:rsidRPr="00294A49">
      <w:rPr>
        <w:lang w:val="es-ES"/>
      </w:rPr>
      <w:instrText xml:space="preserve"> PAGE </w:instrText>
    </w:r>
    <w:r w:rsidRPr="00294A49">
      <w:rPr>
        <w:lang w:val="es-ES"/>
      </w:rPr>
      <w:fldChar w:fldCharType="separate"/>
    </w:r>
    <w:r>
      <w:rPr>
        <w:noProof/>
        <w:lang w:val="es-ES"/>
      </w:rPr>
      <w:t>- 2 -</w:t>
    </w:r>
    <w:r w:rsidRPr="00294A49">
      <w:rPr>
        <w:lang w:val="es-ES"/>
      </w:rPr>
      <w:fldChar w:fldCharType="end"/>
    </w:r>
  </w:p>
  <w:p w14:paraId="57478433" w14:textId="77777777" w:rsidR="00294A49" w:rsidRPr="00294A49" w:rsidRDefault="00294A49" w:rsidP="00294A49">
    <w:pPr>
      <w:rPr>
        <w:lang w:val="es-ES"/>
      </w:rPr>
    </w:pPr>
  </w:p>
  <w:p w14:paraId="6DA78BEA" w14:textId="77777777" w:rsidR="00294A49" w:rsidRPr="00294A49" w:rsidRDefault="00294A49" w:rsidP="00294A49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CB79" w14:textId="77777777" w:rsidR="00294A49" w:rsidRPr="00294A49" w:rsidRDefault="00FD248F" w:rsidP="00294A49">
    <w:pPr>
      <w:pStyle w:val="Header"/>
      <w:jc w:val="center"/>
      <w:rPr>
        <w:lang w:val="es-ES"/>
      </w:rPr>
    </w:pPr>
    <w:r>
      <w:rPr>
        <w:noProof/>
        <w:lang w:val="en-US" w:eastAsia="zh-CN"/>
      </w:rPr>
      <w:drawing>
        <wp:inline distT="0" distB="0" distL="0" distR="0" wp14:anchorId="10DEF1CD" wp14:editId="53EEF19B">
          <wp:extent cx="3217500" cy="956250"/>
          <wp:effectExtent l="0" t="0" r="254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17500" cy="95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1AB2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36056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60970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1EF4C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261D7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5373B"/>
    <w:multiLevelType w:val="hybridMultilevel"/>
    <w:tmpl w:val="EE20F9C4"/>
    <w:lvl w:ilvl="0" w:tplc="5436EC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E8473D"/>
    <w:multiLevelType w:val="hybridMultilevel"/>
    <w:tmpl w:val="35B2663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6057461"/>
    <w:multiLevelType w:val="multilevel"/>
    <w:tmpl w:val="D6984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4" w15:restartNumberingAfterBreak="0">
    <w:nsid w:val="57454AB1"/>
    <w:multiLevelType w:val="multilevel"/>
    <w:tmpl w:val="075A666C"/>
    <w:numStyleLink w:val="LegalHeadings"/>
  </w:abstractNum>
  <w:abstractNum w:abstractNumId="15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6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8A57C9"/>
    <w:multiLevelType w:val="hybridMultilevel"/>
    <w:tmpl w:val="CFE29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B0A3A"/>
    <w:multiLevelType w:val="multilevel"/>
    <w:tmpl w:val="28D6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9135116">
    <w:abstractNumId w:val="9"/>
  </w:num>
  <w:num w:numId="2" w16cid:durableId="675156744">
    <w:abstractNumId w:val="7"/>
  </w:num>
  <w:num w:numId="3" w16cid:durableId="387994782">
    <w:abstractNumId w:val="6"/>
  </w:num>
  <w:num w:numId="4" w16cid:durableId="568732987">
    <w:abstractNumId w:val="5"/>
  </w:num>
  <w:num w:numId="5" w16cid:durableId="1703046526">
    <w:abstractNumId w:val="4"/>
  </w:num>
  <w:num w:numId="6" w16cid:durableId="242569446">
    <w:abstractNumId w:val="15"/>
  </w:num>
  <w:num w:numId="7" w16cid:durableId="150146039">
    <w:abstractNumId w:val="14"/>
  </w:num>
  <w:num w:numId="8" w16cid:durableId="740952486">
    <w:abstractNumId w:val="13"/>
  </w:num>
  <w:num w:numId="9" w16cid:durableId="14324360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7098471">
    <w:abstractNumId w:val="16"/>
  </w:num>
  <w:num w:numId="11" w16cid:durableId="1106464601">
    <w:abstractNumId w:val="14"/>
  </w:num>
  <w:num w:numId="12" w16cid:durableId="1937248812">
    <w:abstractNumId w:val="14"/>
  </w:num>
  <w:num w:numId="13" w16cid:durableId="242760793">
    <w:abstractNumId w:val="14"/>
  </w:num>
  <w:num w:numId="14" w16cid:durableId="945968057">
    <w:abstractNumId w:val="14"/>
  </w:num>
  <w:num w:numId="15" w16cid:durableId="1590386203">
    <w:abstractNumId w:val="14"/>
  </w:num>
  <w:num w:numId="16" w16cid:durableId="785390477">
    <w:abstractNumId w:val="14"/>
  </w:num>
  <w:num w:numId="17" w16cid:durableId="1143304976">
    <w:abstractNumId w:val="14"/>
  </w:num>
  <w:num w:numId="18" w16cid:durableId="951087448">
    <w:abstractNumId w:val="14"/>
  </w:num>
  <w:num w:numId="19" w16cid:durableId="922563987">
    <w:abstractNumId w:val="14"/>
  </w:num>
  <w:num w:numId="20" w16cid:durableId="2011712065">
    <w:abstractNumId w:val="15"/>
  </w:num>
  <w:num w:numId="21" w16cid:durableId="1284314009">
    <w:abstractNumId w:val="13"/>
  </w:num>
  <w:num w:numId="22" w16cid:durableId="1101222594">
    <w:abstractNumId w:val="13"/>
  </w:num>
  <w:num w:numId="23" w16cid:durableId="464666028">
    <w:abstractNumId w:val="13"/>
  </w:num>
  <w:num w:numId="24" w16cid:durableId="484785064">
    <w:abstractNumId w:val="13"/>
  </w:num>
  <w:num w:numId="25" w16cid:durableId="161090048">
    <w:abstractNumId w:val="13"/>
  </w:num>
  <w:num w:numId="26" w16cid:durableId="1895963748">
    <w:abstractNumId w:val="13"/>
  </w:num>
  <w:num w:numId="27" w16cid:durableId="21564560">
    <w:abstractNumId w:val="16"/>
  </w:num>
  <w:num w:numId="28" w16cid:durableId="1669339">
    <w:abstractNumId w:val="8"/>
  </w:num>
  <w:num w:numId="29" w16cid:durableId="1511064974">
    <w:abstractNumId w:val="3"/>
  </w:num>
  <w:num w:numId="30" w16cid:durableId="891311154">
    <w:abstractNumId w:val="2"/>
  </w:num>
  <w:num w:numId="31" w16cid:durableId="1555921219">
    <w:abstractNumId w:val="1"/>
  </w:num>
  <w:num w:numId="32" w16cid:durableId="743261329">
    <w:abstractNumId w:val="0"/>
  </w:num>
  <w:num w:numId="33" w16cid:durableId="1772771791">
    <w:abstractNumId w:val="12"/>
  </w:num>
  <w:num w:numId="34" w16cid:durableId="1463304102">
    <w:abstractNumId w:val="18"/>
  </w:num>
  <w:num w:numId="35" w16cid:durableId="2063088789">
    <w:abstractNumId w:val="17"/>
  </w:num>
  <w:num w:numId="36" w16cid:durableId="1385443408">
    <w:abstractNumId w:val="10"/>
  </w:num>
  <w:num w:numId="37" w16cid:durableId="16730218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DB5"/>
    <w:rsid w:val="000051D4"/>
    <w:rsid w:val="000272F6"/>
    <w:rsid w:val="00037AC4"/>
    <w:rsid w:val="00052141"/>
    <w:rsid w:val="00076D39"/>
    <w:rsid w:val="000A0D98"/>
    <w:rsid w:val="000B31E1"/>
    <w:rsid w:val="000D3B91"/>
    <w:rsid w:val="000D7DDD"/>
    <w:rsid w:val="000E322A"/>
    <w:rsid w:val="000F035A"/>
    <w:rsid w:val="0011356B"/>
    <w:rsid w:val="00164AE6"/>
    <w:rsid w:val="001748B6"/>
    <w:rsid w:val="001805F0"/>
    <w:rsid w:val="00182B84"/>
    <w:rsid w:val="00192C59"/>
    <w:rsid w:val="001C4E29"/>
    <w:rsid w:val="001E291F"/>
    <w:rsid w:val="001E40B2"/>
    <w:rsid w:val="00233408"/>
    <w:rsid w:val="002336CF"/>
    <w:rsid w:val="0024341C"/>
    <w:rsid w:val="0029055D"/>
    <w:rsid w:val="00294A49"/>
    <w:rsid w:val="002F275D"/>
    <w:rsid w:val="00304C9F"/>
    <w:rsid w:val="003444DD"/>
    <w:rsid w:val="003572B4"/>
    <w:rsid w:val="00363F10"/>
    <w:rsid w:val="00373E19"/>
    <w:rsid w:val="003946C7"/>
    <w:rsid w:val="003B7992"/>
    <w:rsid w:val="003B7B99"/>
    <w:rsid w:val="00412FC8"/>
    <w:rsid w:val="00424BB7"/>
    <w:rsid w:val="00444CB9"/>
    <w:rsid w:val="00457029"/>
    <w:rsid w:val="00467032"/>
    <w:rsid w:val="0046754A"/>
    <w:rsid w:val="004A228B"/>
    <w:rsid w:val="004F203A"/>
    <w:rsid w:val="005336B8"/>
    <w:rsid w:val="005B04B9"/>
    <w:rsid w:val="005B68C7"/>
    <w:rsid w:val="005F30CB"/>
    <w:rsid w:val="006012D6"/>
    <w:rsid w:val="00673C93"/>
    <w:rsid w:val="00674CCD"/>
    <w:rsid w:val="006821BB"/>
    <w:rsid w:val="006E27BA"/>
    <w:rsid w:val="00700181"/>
    <w:rsid w:val="007141CF"/>
    <w:rsid w:val="00755C5F"/>
    <w:rsid w:val="007577E3"/>
    <w:rsid w:val="00760DB3"/>
    <w:rsid w:val="007E6507"/>
    <w:rsid w:val="00805984"/>
    <w:rsid w:val="00816DEC"/>
    <w:rsid w:val="00840C2B"/>
    <w:rsid w:val="00844F97"/>
    <w:rsid w:val="008739FD"/>
    <w:rsid w:val="00892D53"/>
    <w:rsid w:val="008E372C"/>
    <w:rsid w:val="00925DB5"/>
    <w:rsid w:val="009349EA"/>
    <w:rsid w:val="0094557F"/>
    <w:rsid w:val="00982BE7"/>
    <w:rsid w:val="009A1209"/>
    <w:rsid w:val="009A6F54"/>
    <w:rsid w:val="009E0E25"/>
    <w:rsid w:val="009E106C"/>
    <w:rsid w:val="009F0303"/>
    <w:rsid w:val="009F0A75"/>
    <w:rsid w:val="00A35795"/>
    <w:rsid w:val="00A414AF"/>
    <w:rsid w:val="00A6057A"/>
    <w:rsid w:val="00A65823"/>
    <w:rsid w:val="00A74017"/>
    <w:rsid w:val="00A80B07"/>
    <w:rsid w:val="00AA18E2"/>
    <w:rsid w:val="00AA332C"/>
    <w:rsid w:val="00AB18BC"/>
    <w:rsid w:val="00AC27F8"/>
    <w:rsid w:val="00AD4C72"/>
    <w:rsid w:val="00AE2AEE"/>
    <w:rsid w:val="00B578B4"/>
    <w:rsid w:val="00B718FB"/>
    <w:rsid w:val="00B94854"/>
    <w:rsid w:val="00BB0FFA"/>
    <w:rsid w:val="00BB1F84"/>
    <w:rsid w:val="00BC2E9A"/>
    <w:rsid w:val="00BE5468"/>
    <w:rsid w:val="00C11EAC"/>
    <w:rsid w:val="00C30F2A"/>
    <w:rsid w:val="00C43456"/>
    <w:rsid w:val="00C44E44"/>
    <w:rsid w:val="00C56031"/>
    <w:rsid w:val="00C564D3"/>
    <w:rsid w:val="00C6208E"/>
    <w:rsid w:val="00C67516"/>
    <w:rsid w:val="00C7253A"/>
    <w:rsid w:val="00C808FC"/>
    <w:rsid w:val="00CD7D97"/>
    <w:rsid w:val="00CE3EE6"/>
    <w:rsid w:val="00CE4BA1"/>
    <w:rsid w:val="00D000C7"/>
    <w:rsid w:val="00D747AE"/>
    <w:rsid w:val="00D9226C"/>
    <w:rsid w:val="00DA20BD"/>
    <w:rsid w:val="00DA43AF"/>
    <w:rsid w:val="00DE50DB"/>
    <w:rsid w:val="00DF6AE1"/>
    <w:rsid w:val="00E126F8"/>
    <w:rsid w:val="00E17906"/>
    <w:rsid w:val="00E23860"/>
    <w:rsid w:val="00E46FD5"/>
    <w:rsid w:val="00E544BB"/>
    <w:rsid w:val="00E56545"/>
    <w:rsid w:val="00E62E1C"/>
    <w:rsid w:val="00E95C8B"/>
    <w:rsid w:val="00E967EF"/>
    <w:rsid w:val="00EA5B16"/>
    <w:rsid w:val="00EA75A5"/>
    <w:rsid w:val="00EC7A2F"/>
    <w:rsid w:val="00ED54E0"/>
    <w:rsid w:val="00EE66E1"/>
    <w:rsid w:val="00EF004F"/>
    <w:rsid w:val="00EF5DA8"/>
    <w:rsid w:val="00F32397"/>
    <w:rsid w:val="00F40595"/>
    <w:rsid w:val="00F85A48"/>
    <w:rsid w:val="00FA5DBC"/>
    <w:rsid w:val="00FA5EBC"/>
    <w:rsid w:val="00FC3119"/>
    <w:rsid w:val="00FD224A"/>
    <w:rsid w:val="00FD248F"/>
    <w:rsid w:val="00FD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2E249"/>
  <w15:docId w15:val="{CBA22307-4150-4F99-9C93-E286C6BC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7BA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126F8"/>
    <w:pPr>
      <w:keepNext/>
      <w:keepLines/>
      <w:numPr>
        <w:numId w:val="20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126F8"/>
    <w:pPr>
      <w:keepNext/>
      <w:keepLines/>
      <w:numPr>
        <w:ilvl w:val="1"/>
        <w:numId w:val="20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126F8"/>
    <w:pPr>
      <w:keepNext/>
      <w:keepLines/>
      <w:numPr>
        <w:ilvl w:val="2"/>
        <w:numId w:val="20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126F8"/>
    <w:pPr>
      <w:keepNext/>
      <w:keepLines/>
      <w:numPr>
        <w:ilvl w:val="3"/>
        <w:numId w:val="20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126F8"/>
    <w:pPr>
      <w:keepNext/>
      <w:keepLines/>
      <w:numPr>
        <w:ilvl w:val="4"/>
        <w:numId w:val="20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126F8"/>
    <w:pPr>
      <w:keepNext/>
      <w:keepLines/>
      <w:numPr>
        <w:ilvl w:val="5"/>
        <w:numId w:val="20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126F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126F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126F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E126F8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E126F8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E126F8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E126F8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E126F8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E126F8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E126F8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E126F8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E126F8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E126F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E126F8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E126F8"/>
    <w:pPr>
      <w:numPr>
        <w:ilvl w:val="6"/>
        <w:numId w:val="20"/>
      </w:numPr>
      <w:spacing w:after="240"/>
    </w:pPr>
  </w:style>
  <w:style w:type="character" w:customStyle="1" w:styleId="BodyTextChar">
    <w:name w:val="Body Text Char"/>
    <w:link w:val="BodyText"/>
    <w:uiPriority w:val="1"/>
    <w:rsid w:val="00E126F8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E126F8"/>
    <w:pPr>
      <w:numPr>
        <w:ilvl w:val="7"/>
        <w:numId w:val="20"/>
      </w:numPr>
      <w:spacing w:after="240"/>
    </w:pPr>
  </w:style>
  <w:style w:type="character" w:customStyle="1" w:styleId="BodyText2Char">
    <w:name w:val="Body Text 2 Char"/>
    <w:link w:val="BodyText2"/>
    <w:uiPriority w:val="1"/>
    <w:rsid w:val="00E126F8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E126F8"/>
    <w:pPr>
      <w:numPr>
        <w:ilvl w:val="8"/>
        <w:numId w:val="20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E126F8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E126F8"/>
    <w:pPr>
      <w:numPr>
        <w:numId w:val="6"/>
      </w:numPr>
    </w:pPr>
  </w:style>
  <w:style w:type="paragraph" w:styleId="ListBullet">
    <w:name w:val="List Bullet"/>
    <w:basedOn w:val="Normal"/>
    <w:uiPriority w:val="1"/>
    <w:rsid w:val="00E126F8"/>
    <w:pPr>
      <w:numPr>
        <w:numId w:val="26"/>
      </w:numPr>
      <w:spacing w:after="240"/>
    </w:pPr>
  </w:style>
  <w:style w:type="paragraph" w:styleId="ListBullet2">
    <w:name w:val="List Bullet 2"/>
    <w:basedOn w:val="Normal"/>
    <w:uiPriority w:val="1"/>
    <w:rsid w:val="00E126F8"/>
    <w:pPr>
      <w:numPr>
        <w:ilvl w:val="1"/>
        <w:numId w:val="26"/>
      </w:numPr>
      <w:spacing w:after="240"/>
    </w:pPr>
  </w:style>
  <w:style w:type="paragraph" w:styleId="ListBullet3">
    <w:name w:val="List Bullet 3"/>
    <w:basedOn w:val="Normal"/>
    <w:uiPriority w:val="1"/>
    <w:rsid w:val="00E126F8"/>
    <w:pPr>
      <w:numPr>
        <w:ilvl w:val="2"/>
        <w:numId w:val="26"/>
      </w:numPr>
      <w:spacing w:after="240"/>
    </w:pPr>
  </w:style>
  <w:style w:type="paragraph" w:styleId="ListBullet4">
    <w:name w:val="List Bullet 4"/>
    <w:basedOn w:val="Normal"/>
    <w:uiPriority w:val="1"/>
    <w:rsid w:val="00E126F8"/>
    <w:pPr>
      <w:numPr>
        <w:ilvl w:val="3"/>
        <w:numId w:val="26"/>
      </w:numPr>
      <w:spacing w:after="240"/>
    </w:pPr>
  </w:style>
  <w:style w:type="paragraph" w:styleId="ListBullet5">
    <w:name w:val="List Bullet 5"/>
    <w:basedOn w:val="Normal"/>
    <w:uiPriority w:val="1"/>
    <w:rsid w:val="00E126F8"/>
    <w:pPr>
      <w:numPr>
        <w:ilvl w:val="4"/>
        <w:numId w:val="26"/>
      </w:numPr>
      <w:spacing w:after="240"/>
    </w:pPr>
  </w:style>
  <w:style w:type="numbering" w:customStyle="1" w:styleId="ListBullets">
    <w:name w:val="ListBullets"/>
    <w:uiPriority w:val="99"/>
    <w:rsid w:val="00E126F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126F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E126F8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126F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126F8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126F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126F8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126F8"/>
    <w:rPr>
      <w:szCs w:val="20"/>
    </w:rPr>
  </w:style>
  <w:style w:type="character" w:customStyle="1" w:styleId="EndnoteTextChar">
    <w:name w:val="Endnote Text Char"/>
    <w:link w:val="EndnoteText"/>
    <w:uiPriority w:val="99"/>
    <w:rsid w:val="00E126F8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126F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E126F8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126F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E126F8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126F8"/>
    <w:pPr>
      <w:ind w:left="567" w:right="567" w:firstLine="0"/>
    </w:pPr>
  </w:style>
  <w:style w:type="character" w:styleId="FootnoteReference">
    <w:name w:val="footnote reference"/>
    <w:uiPriority w:val="5"/>
    <w:rsid w:val="00E126F8"/>
    <w:rPr>
      <w:vertAlign w:val="superscript"/>
    </w:rPr>
  </w:style>
  <w:style w:type="paragraph" w:styleId="Header">
    <w:name w:val="header"/>
    <w:basedOn w:val="Normal"/>
    <w:link w:val="HeaderChar"/>
    <w:uiPriority w:val="3"/>
    <w:rsid w:val="00E126F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E126F8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126F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126F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126F8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126F8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126F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126F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126F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E126F8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E126F8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E126F8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E126F8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E126F8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E126F8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E126F8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E126F8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E126F8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126F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126F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12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26F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126F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126F8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E126F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126F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126F8"/>
    <w:pPr>
      <w:numPr>
        <w:numId w:val="27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E126F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126F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126F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126F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12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126F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3444D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AA18E2"/>
  </w:style>
  <w:style w:type="paragraph" w:styleId="BlockText">
    <w:name w:val="Block Text"/>
    <w:basedOn w:val="Normal"/>
    <w:uiPriority w:val="99"/>
    <w:semiHidden/>
    <w:unhideWhenUsed/>
    <w:rsid w:val="00AA18E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A18E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A18E2"/>
    <w:rPr>
      <w:rFonts w:ascii="Verdana" w:hAnsi="Verdana"/>
      <w:sz w:val="18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A18E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A18E2"/>
    <w:rPr>
      <w:rFonts w:ascii="Verdana" w:hAnsi="Verdana"/>
      <w:sz w:val="18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A18E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A18E2"/>
    <w:rPr>
      <w:rFonts w:ascii="Verdana" w:hAnsi="Verdana"/>
      <w:sz w:val="18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A18E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A18E2"/>
    <w:rPr>
      <w:rFonts w:ascii="Verdana" w:hAnsi="Verdana"/>
      <w:sz w:val="18"/>
      <w:szCs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A18E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A18E2"/>
    <w:rPr>
      <w:rFonts w:ascii="Verdana" w:hAnsi="Verdana"/>
      <w:sz w:val="16"/>
      <w:szCs w:val="16"/>
      <w:lang w:eastAsia="en-US"/>
    </w:rPr>
  </w:style>
  <w:style w:type="character" w:styleId="BookTitle">
    <w:name w:val="Book Title"/>
    <w:basedOn w:val="DefaultParagraphFont"/>
    <w:uiPriority w:val="99"/>
    <w:semiHidden/>
    <w:qFormat/>
    <w:rsid w:val="00AA18E2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AA18E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A18E2"/>
    <w:rPr>
      <w:rFonts w:ascii="Verdana" w:hAnsi="Verdana"/>
      <w:sz w:val="18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A1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18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18E2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A1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8E2"/>
    <w:rPr>
      <w:rFonts w:ascii="Verdana" w:hAnsi="Verdana"/>
      <w:b/>
      <w:bCs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A18E2"/>
  </w:style>
  <w:style w:type="character" w:customStyle="1" w:styleId="DateChar">
    <w:name w:val="Date Char"/>
    <w:basedOn w:val="DefaultParagraphFont"/>
    <w:link w:val="Date"/>
    <w:uiPriority w:val="99"/>
    <w:semiHidden/>
    <w:rsid w:val="00AA18E2"/>
    <w:rPr>
      <w:rFonts w:ascii="Verdana" w:hAnsi="Verdana"/>
      <w:sz w:val="18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A18E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A18E2"/>
    <w:rPr>
      <w:rFonts w:ascii="Tahoma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A18E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A18E2"/>
    <w:rPr>
      <w:rFonts w:ascii="Verdana" w:hAnsi="Verdana"/>
      <w:sz w:val="18"/>
      <w:szCs w:val="22"/>
      <w:lang w:eastAsia="en-US"/>
    </w:rPr>
  </w:style>
  <w:style w:type="character" w:styleId="Emphasis">
    <w:name w:val="Emphasis"/>
    <w:basedOn w:val="DefaultParagraphFont"/>
    <w:uiPriority w:val="99"/>
    <w:semiHidden/>
    <w:qFormat/>
    <w:rsid w:val="00AA18E2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AA18E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A18E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AA18E2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AA18E2"/>
  </w:style>
  <w:style w:type="paragraph" w:styleId="HTMLAddress">
    <w:name w:val="HTML Address"/>
    <w:basedOn w:val="Normal"/>
    <w:link w:val="HTMLAddressChar"/>
    <w:uiPriority w:val="99"/>
    <w:semiHidden/>
    <w:unhideWhenUsed/>
    <w:rsid w:val="00AA18E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A18E2"/>
    <w:rPr>
      <w:rFonts w:ascii="Verdana" w:hAnsi="Verdana"/>
      <w:i/>
      <w:iCs/>
      <w:sz w:val="18"/>
      <w:szCs w:val="22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AA18E2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AA18E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AA18E2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AA18E2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A18E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A18E2"/>
    <w:rPr>
      <w:rFonts w:ascii="Consolas" w:hAnsi="Consolas" w:cs="Consolas"/>
      <w:lang w:eastAsia="en-US"/>
    </w:rPr>
  </w:style>
  <w:style w:type="character" w:styleId="HTMLSample">
    <w:name w:val="HTML Sample"/>
    <w:basedOn w:val="DefaultParagraphFont"/>
    <w:uiPriority w:val="99"/>
    <w:semiHidden/>
    <w:unhideWhenUsed/>
    <w:rsid w:val="00AA18E2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AA18E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AA18E2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A18E2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A18E2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A18E2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A18E2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A18E2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A18E2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A18E2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A18E2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A18E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A18E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AA18E2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AA18E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AA18E2"/>
    <w:rPr>
      <w:rFonts w:ascii="Verdana" w:hAnsi="Verdana"/>
      <w:b/>
      <w:bCs/>
      <w:i/>
      <w:iCs/>
      <w:color w:val="4F81BD" w:themeColor="accent1"/>
      <w:sz w:val="18"/>
      <w:szCs w:val="22"/>
      <w:lang w:eastAsia="en-US"/>
    </w:rPr>
  </w:style>
  <w:style w:type="character" w:styleId="IntenseReference">
    <w:name w:val="Intense Reference"/>
    <w:basedOn w:val="DefaultParagraphFont"/>
    <w:uiPriority w:val="99"/>
    <w:semiHidden/>
    <w:qFormat/>
    <w:rsid w:val="00AA18E2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A18E2"/>
  </w:style>
  <w:style w:type="paragraph" w:styleId="List">
    <w:name w:val="List"/>
    <w:basedOn w:val="Normal"/>
    <w:uiPriority w:val="99"/>
    <w:semiHidden/>
    <w:unhideWhenUsed/>
    <w:rsid w:val="00AA18E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A18E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A18E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A18E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A18E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A18E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A18E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A18E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A18E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A18E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AA18E2"/>
    <w:pPr>
      <w:numPr>
        <w:numId w:val="28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AA18E2"/>
    <w:pPr>
      <w:numPr>
        <w:numId w:val="29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AA18E2"/>
    <w:pPr>
      <w:numPr>
        <w:numId w:val="30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AA18E2"/>
    <w:pPr>
      <w:numPr>
        <w:numId w:val="31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AA18E2"/>
    <w:pPr>
      <w:numPr>
        <w:numId w:val="32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AA18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A18E2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A18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A18E2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semiHidden/>
    <w:qFormat/>
    <w:rsid w:val="00AA18E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A18E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A18E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A18E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A18E2"/>
    <w:rPr>
      <w:rFonts w:ascii="Verdana" w:hAnsi="Verdana"/>
      <w:sz w:val="18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A18E2"/>
  </w:style>
  <w:style w:type="character" w:styleId="PlaceholderText">
    <w:name w:val="Placeholder Text"/>
    <w:basedOn w:val="DefaultParagraphFont"/>
    <w:uiPriority w:val="99"/>
    <w:semiHidden/>
    <w:rsid w:val="00AA18E2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AA18E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A18E2"/>
    <w:rPr>
      <w:rFonts w:ascii="Consolas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AA18E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AA18E2"/>
    <w:rPr>
      <w:rFonts w:ascii="Verdana" w:hAnsi="Verdana"/>
      <w:i/>
      <w:iCs/>
      <w:color w:val="000000" w:themeColor="text1"/>
      <w:sz w:val="18"/>
      <w:szCs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A18E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A18E2"/>
    <w:rPr>
      <w:rFonts w:ascii="Verdana" w:hAnsi="Verdana"/>
      <w:sz w:val="18"/>
      <w:szCs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A18E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A18E2"/>
    <w:rPr>
      <w:rFonts w:ascii="Verdana" w:hAnsi="Verdana"/>
      <w:sz w:val="18"/>
      <w:szCs w:val="22"/>
      <w:lang w:eastAsia="en-US"/>
    </w:rPr>
  </w:style>
  <w:style w:type="character" w:styleId="Strong">
    <w:name w:val="Strong"/>
    <w:basedOn w:val="DefaultParagraphFont"/>
    <w:uiPriority w:val="99"/>
    <w:semiHidden/>
    <w:qFormat/>
    <w:rsid w:val="00AA18E2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AA18E2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AA18E2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AA18E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4A228B"/>
    <w:rPr>
      <w:rFonts w:ascii="Verdana" w:hAnsi="Verdana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eauc\appdata\roaming\microsoft\templates\Letters%20&amp;%20Faxes\WTOLETTRS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35635a86-c8a0-4a36-bacb-c75d52d4fdbc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6D5A362D-7518-4D3E-AEA3-801FAD3302D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WTOLETTRS2012.DOTX</Template>
  <TotalTime>7</TotalTime>
  <Pages>4</Pages>
  <Words>912</Words>
  <Characters>4825</Characters>
  <Application>Microsoft Office Word</Application>
  <DocSecurity>0</DocSecurity>
  <Lines>689</Lines>
  <Paragraphs>318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WTO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Moreau, Clemence</dc:creator>
  <cp:lastModifiedBy>Roy, Martin</cp:lastModifiedBy>
  <cp:revision>3</cp:revision>
  <cp:lastPrinted>2026-10-08T07:55:00Z</cp:lastPrinted>
  <dcterms:created xsi:type="dcterms:W3CDTF">2026-10-08T12:47:00Z</dcterms:created>
  <dcterms:modified xsi:type="dcterms:W3CDTF">2026-10-08T12:54:00Z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35635a86-c8a0-4a36-bacb-c75d52d4fdbc</vt:lpwstr>
  </property>
  <property fmtid="{D5CDD505-2E9C-101B-9397-08002B2CF9AE}" pid="3" name="WTOCLASSIFICATION">
    <vt:lpwstr>PUBLIC</vt:lpwstr>
  </property>
</Properties>
</file>