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8AAA" w14:textId="77777777" w:rsidR="00E17906" w:rsidRDefault="00E17906" w:rsidP="008E372C"/>
    <w:p w14:paraId="5A356E6F" w14:textId="77777777" w:rsidR="005A79F3" w:rsidRDefault="005A79F3" w:rsidP="008E372C"/>
    <w:p w14:paraId="4EDA7DB4" w14:textId="77777777" w:rsidR="005A79F3" w:rsidRDefault="005A79F3" w:rsidP="008E372C"/>
    <w:p w14:paraId="07F7A32C" w14:textId="77777777" w:rsidR="00B5201B" w:rsidRDefault="00B5201B" w:rsidP="008E372C"/>
    <w:p w14:paraId="423B7D84" w14:textId="77C281B1" w:rsidR="00FF653D" w:rsidRDefault="0096124C" w:rsidP="00585AB8">
      <w:pPr>
        <w:pStyle w:val="SummaryHeader"/>
        <w:spacing w:after="0"/>
        <w:jc w:val="center"/>
      </w:pPr>
      <w:r>
        <w:t>agriculture</w:t>
      </w:r>
      <w:r w:rsidR="00170FD6">
        <w:t xml:space="preserve"> notification workshop</w:t>
      </w:r>
    </w:p>
    <w:p w14:paraId="4A59A4C1" w14:textId="15C86163" w:rsidR="00585AB8" w:rsidRDefault="00585AB8" w:rsidP="00170FD6">
      <w:pPr>
        <w:pStyle w:val="SummaryHeader"/>
        <w:jc w:val="center"/>
      </w:pPr>
      <w:r>
        <w:t>Oman</w:t>
      </w:r>
    </w:p>
    <w:p w14:paraId="570EC922" w14:textId="2C7ADFA7" w:rsidR="00392C41" w:rsidRDefault="00170FD6" w:rsidP="00170FD6">
      <w:pPr>
        <w:pStyle w:val="FollowUp"/>
        <w:ind w:left="0" w:hanging="11"/>
        <w:jc w:val="center"/>
      </w:pPr>
      <w:r>
        <w:t xml:space="preserve">Muscat, Oman, </w:t>
      </w:r>
      <w:r w:rsidR="00392C41">
        <w:t>21-22 Octobe</w:t>
      </w:r>
      <w:r>
        <w:t>r 2025</w:t>
      </w: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170FD6" w:rsidRPr="001111E0" w14:paraId="5DD5E406" w14:textId="77777777" w:rsidTr="00E2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6823FC9" w14:textId="052FF589" w:rsidR="00170FD6" w:rsidRPr="001111E0" w:rsidRDefault="00170FD6" w:rsidP="00E2199D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lang w:eastAsia="en-GB"/>
              </w:rPr>
            </w:pPr>
            <w:r>
              <w:rPr>
                <w:rFonts w:ascii="Montserrat Alternates" w:hAnsi="Montserrat Alternates"/>
                <w:sz w:val="22"/>
              </w:rPr>
              <w:t>21</w:t>
            </w:r>
            <w:r>
              <w:rPr>
                <w:rFonts w:ascii="Montserrat Alternates" w:hAnsi="Montserrat Alternates"/>
                <w:sz w:val="22"/>
              </w:rPr>
              <w:t xml:space="preserve"> October</w:t>
            </w:r>
            <w:r w:rsidRPr="001111E0">
              <w:rPr>
                <w:rFonts w:ascii="Montserrat Alternates" w:hAnsi="Montserrat Alternates"/>
                <w:sz w:val="22"/>
              </w:rPr>
              <w:t xml:space="preserve"> 202</w:t>
            </w:r>
            <w:r>
              <w:rPr>
                <w:rFonts w:ascii="Montserrat Alternates" w:hAnsi="Montserrat Alternates"/>
                <w:sz w:val="22"/>
              </w:rPr>
              <w:t>5</w:t>
            </w:r>
          </w:p>
        </w:tc>
      </w:tr>
      <w:tr w:rsidR="00170FD6" w:rsidRPr="001111E0" w14:paraId="2CF08D26" w14:textId="77777777" w:rsidTr="00E2199D">
        <w:tc>
          <w:tcPr>
            <w:tcW w:w="1029" w:type="pct"/>
          </w:tcPr>
          <w:p w14:paraId="7199AA7F" w14:textId="5AC6CBB9" w:rsidR="00170FD6" w:rsidRPr="001111E0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8</w:t>
            </w:r>
            <w:r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30</w:t>
            </w:r>
            <w:r>
              <w:rPr>
                <w:rFonts w:ascii="Montserrat Alternates" w:hAnsi="Montserrat Alternates"/>
                <w:sz w:val="22"/>
              </w:rPr>
              <w:t>-9:</w:t>
            </w:r>
            <w:r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</w:t>
            </w:r>
          </w:p>
        </w:tc>
        <w:tc>
          <w:tcPr>
            <w:tcW w:w="3971" w:type="pct"/>
          </w:tcPr>
          <w:p w14:paraId="2F2EAEB1" w14:textId="77777777" w:rsidR="00170FD6" w:rsidRPr="001111E0" w:rsidRDefault="00170FD6" w:rsidP="00E2199D">
            <w:pPr>
              <w:spacing w:line="240" w:lineRule="atLeast"/>
              <w:rPr>
                <w:rFonts w:ascii="Montserrat Alternates" w:hAnsi="Montserrat Alternates"/>
                <w:b/>
                <w:sz w:val="22"/>
              </w:rPr>
            </w:pPr>
            <w:r w:rsidRPr="001111E0">
              <w:rPr>
                <w:rFonts w:ascii="Montserrat Alternates" w:hAnsi="Montserrat Alternates"/>
                <w:b/>
                <w:sz w:val="22"/>
                <w:lang w:eastAsia="en-GB"/>
              </w:rPr>
              <w:t xml:space="preserve">Registration of participants </w:t>
            </w:r>
          </w:p>
        </w:tc>
      </w:tr>
      <w:tr w:rsidR="00170FD6" w:rsidRPr="00FF7E60" w14:paraId="52FFD953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363C445" w14:textId="77777777" w:rsidR="00170FD6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</w:p>
          <w:p w14:paraId="456D6043" w14:textId="32C18719" w:rsidR="00170FD6" w:rsidRPr="001111E0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9:</w:t>
            </w:r>
            <w:r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0-</w:t>
            </w:r>
            <w:r>
              <w:rPr>
                <w:rFonts w:ascii="Montserrat Alternates" w:hAnsi="Montserrat Alternates"/>
                <w:sz w:val="22"/>
              </w:rPr>
              <w:t>9</w:t>
            </w:r>
            <w:r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15</w:t>
            </w:r>
          </w:p>
        </w:tc>
        <w:tc>
          <w:tcPr>
            <w:tcW w:w="3971" w:type="pct"/>
          </w:tcPr>
          <w:p w14:paraId="1012B1F9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 xml:space="preserve">Opening </w:t>
            </w:r>
            <w:r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>ceremony</w:t>
            </w:r>
          </w:p>
          <w:p w14:paraId="384269CF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  <w:p w14:paraId="66E2078F" w14:textId="3540D1EB" w:rsidR="00170FD6" w:rsidRPr="001111E0" w:rsidRDefault="00170FD6" w:rsidP="00170FD6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[TBD]Government official from </w:t>
            </w: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Oman</w:t>
            </w:r>
          </w:p>
          <w:p w14:paraId="0848DF3B" w14:textId="77777777" w:rsidR="00170FD6" w:rsidRPr="001111E0" w:rsidRDefault="00170FD6" w:rsidP="00170FD6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Javier Ocampo, Economic Affairs Officer, </w:t>
            </w: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W</w:t>
            </w: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orld Trade Organization (WTO) </w:t>
            </w:r>
          </w:p>
          <w:p w14:paraId="6EA88B96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</w:tc>
      </w:tr>
      <w:tr w:rsidR="00056BF4" w:rsidRPr="00FF7E60" w14:paraId="4520A640" w14:textId="77777777" w:rsidTr="00E2199D">
        <w:tc>
          <w:tcPr>
            <w:tcW w:w="1029" w:type="pct"/>
          </w:tcPr>
          <w:p w14:paraId="78F20493" w14:textId="233F20FF" w:rsidR="00056BF4" w:rsidRDefault="00056BF4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9:15-9:30</w:t>
            </w:r>
          </w:p>
        </w:tc>
        <w:tc>
          <w:tcPr>
            <w:tcW w:w="3971" w:type="pct"/>
          </w:tcPr>
          <w:p w14:paraId="77A66293" w14:textId="1B4453AE" w:rsidR="00056BF4" w:rsidRPr="001111E0" w:rsidRDefault="00056BF4" w:rsidP="00E2199D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>Self-assesment Quiz</w:t>
            </w:r>
          </w:p>
        </w:tc>
      </w:tr>
      <w:tr w:rsidR="00170FD6" w:rsidRPr="00450A22" w14:paraId="6C6DBE6F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73E6A7D0" w14:textId="3464F639" w:rsidR="00170FD6" w:rsidRPr="001111E0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9</w:t>
            </w:r>
            <w:r>
              <w:rPr>
                <w:rFonts w:ascii="Montserrat Alternates" w:hAnsi="Montserrat Alternates"/>
                <w:sz w:val="22"/>
              </w:rPr>
              <w:t>:</w:t>
            </w:r>
            <w:r w:rsidR="00056BF4">
              <w:rPr>
                <w:rFonts w:ascii="Montserrat Alternates" w:hAnsi="Montserrat Alternates"/>
                <w:sz w:val="22"/>
              </w:rPr>
              <w:t>30</w:t>
            </w:r>
            <w:r w:rsidRPr="001111E0">
              <w:rPr>
                <w:rFonts w:ascii="Montserrat Alternates" w:hAnsi="Montserrat Alternates"/>
                <w:sz w:val="22"/>
              </w:rPr>
              <w:t>-1</w:t>
            </w:r>
            <w:r w:rsidR="00CC4AEF"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 w:rsidR="00D862F1">
              <w:rPr>
                <w:rFonts w:ascii="Montserrat Alternates" w:hAnsi="Montserrat Alternates"/>
                <w:sz w:val="22"/>
              </w:rPr>
              <w:t>30</w:t>
            </w:r>
          </w:p>
        </w:tc>
        <w:tc>
          <w:tcPr>
            <w:tcW w:w="3971" w:type="pct"/>
          </w:tcPr>
          <w:p w14:paraId="72C0C694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Introduction to the </w:t>
            </w: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World Trade Organization and the Agreement on Agriculture</w:t>
            </w:r>
          </w:p>
          <w:p w14:paraId="688F0AE2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52A16853" w14:textId="77777777" w:rsidR="00170FD6" w:rsidRPr="00F03475" w:rsidRDefault="00170FD6" w:rsidP="00170FD6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  <w:t>Introduction to the WTO</w:t>
            </w:r>
          </w:p>
          <w:p w14:paraId="152C2B65" w14:textId="77777777" w:rsidR="00170FD6" w:rsidRPr="001111E0" w:rsidRDefault="00170FD6" w:rsidP="00170FD6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Agreement on agriculture</w:t>
            </w:r>
          </w:p>
          <w:p w14:paraId="5A89831A" w14:textId="77777777" w:rsidR="00170FD6" w:rsidRPr="00F03475" w:rsidRDefault="00170FD6" w:rsidP="00170FD6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Legal framework</w:t>
            </w:r>
          </w:p>
          <w:p w14:paraId="68776C3C" w14:textId="77777777" w:rsidR="00170FD6" w:rsidRPr="00450A22" w:rsidRDefault="00170FD6" w:rsidP="00170FD6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</w:t>
            </w:r>
          </w:p>
          <w:p w14:paraId="48803A4C" w14:textId="77777777" w:rsidR="00170FD6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</w:pPr>
          </w:p>
          <w:p w14:paraId="7A496327" w14:textId="77777777" w:rsidR="00170FD6" w:rsidRPr="001111E0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</w:tc>
      </w:tr>
      <w:tr w:rsidR="00056BF4" w:rsidRPr="00450A22" w14:paraId="044C954A" w14:textId="77777777" w:rsidTr="00E2199D">
        <w:tc>
          <w:tcPr>
            <w:tcW w:w="1029" w:type="pct"/>
          </w:tcPr>
          <w:p w14:paraId="328F92C7" w14:textId="268359E9" w:rsidR="00056BF4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10</w:t>
            </w:r>
            <w:r w:rsidR="00056BF4"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3</w:t>
            </w:r>
            <w:r w:rsidR="00056BF4">
              <w:rPr>
                <w:rFonts w:ascii="Montserrat Alternates" w:hAnsi="Montserrat Alternates"/>
                <w:sz w:val="22"/>
              </w:rPr>
              <w:t>0</w:t>
            </w:r>
            <w:r w:rsidR="00056BF4" w:rsidRPr="001111E0">
              <w:rPr>
                <w:rFonts w:ascii="Montserrat Alternates" w:hAnsi="Montserrat Alternates"/>
                <w:sz w:val="22"/>
              </w:rPr>
              <w:t>-</w:t>
            </w:r>
            <w:r w:rsidR="00056BF4">
              <w:rPr>
                <w:rFonts w:ascii="Montserrat Alternates" w:hAnsi="Montserrat Alternates"/>
                <w:sz w:val="22"/>
              </w:rPr>
              <w:t>1</w:t>
            </w:r>
            <w:r>
              <w:rPr>
                <w:rFonts w:ascii="Montserrat Alternates" w:hAnsi="Montserrat Alternates"/>
                <w:sz w:val="22"/>
              </w:rPr>
              <w:t>2:00</w:t>
            </w:r>
          </w:p>
        </w:tc>
        <w:tc>
          <w:tcPr>
            <w:tcW w:w="3971" w:type="pct"/>
          </w:tcPr>
          <w:p w14:paraId="250A9FE8" w14:textId="77777777" w:rsidR="00F67C13" w:rsidRPr="001111E0" w:rsidRDefault="00F67C13" w:rsidP="00F67C13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Market Access </w:t>
            </w:r>
          </w:p>
          <w:p w14:paraId="23A53C8F" w14:textId="77777777" w:rsidR="00F67C13" w:rsidRDefault="00F67C13" w:rsidP="00F67C1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1510F30C" w14:textId="77777777" w:rsidR="00F67C13" w:rsidRDefault="00F67C13" w:rsidP="00F67C1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43DF440E" w14:textId="77777777" w:rsidR="00056BF4" w:rsidRDefault="00056BF4" w:rsidP="00E2199D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6742AF51" w14:textId="77777777" w:rsidR="00056BF4" w:rsidRPr="001111E0" w:rsidRDefault="00056BF4" w:rsidP="00E2199D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</w:tc>
      </w:tr>
      <w:tr w:rsidR="00170FD6" w:rsidRPr="001111E0" w14:paraId="5F174AAC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C2CADBF" w14:textId="09916528" w:rsidR="00170FD6" w:rsidRPr="001111E0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 w:rsidRPr="001111E0">
              <w:rPr>
                <w:rFonts w:ascii="Montserrat Alternates" w:hAnsi="Montserrat Alternates"/>
                <w:sz w:val="22"/>
              </w:rPr>
              <w:t>1</w:t>
            </w:r>
            <w:r w:rsidR="00F67C13">
              <w:rPr>
                <w:rFonts w:ascii="Montserrat Alternates" w:hAnsi="Montserrat Alternates"/>
                <w:sz w:val="22"/>
              </w:rPr>
              <w:t>2</w:t>
            </w:r>
            <w:r>
              <w:rPr>
                <w:rFonts w:ascii="Montserrat Alternates" w:hAnsi="Montserrat Alternates"/>
                <w:sz w:val="22"/>
              </w:rPr>
              <w:t>:</w:t>
            </w:r>
            <w:r w:rsidR="00F67C13">
              <w:rPr>
                <w:rFonts w:ascii="Montserrat Alternates" w:hAnsi="Montserrat Alternates"/>
                <w:sz w:val="22"/>
              </w:rPr>
              <w:t>00</w:t>
            </w:r>
            <w:r w:rsidRPr="001111E0">
              <w:rPr>
                <w:rFonts w:ascii="Montserrat Alternates" w:hAnsi="Montserrat Alternates"/>
                <w:sz w:val="22"/>
              </w:rPr>
              <w:t>-1</w:t>
            </w:r>
            <w:r w:rsidR="00F67C13">
              <w:rPr>
                <w:rFonts w:ascii="Montserrat Alternates" w:hAnsi="Montserrat Alternates"/>
                <w:sz w:val="22"/>
              </w:rPr>
              <w:t>3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 w:rsidR="00F67C13"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</w:t>
            </w:r>
          </w:p>
        </w:tc>
        <w:tc>
          <w:tcPr>
            <w:tcW w:w="3971" w:type="pct"/>
          </w:tcPr>
          <w:p w14:paraId="4912536D" w14:textId="181CFF56" w:rsidR="00170FD6" w:rsidRPr="001111E0" w:rsidRDefault="00170FD6" w:rsidP="00E2199D">
            <w:pPr>
              <w:spacing w:line="240" w:lineRule="atLeast"/>
              <w:rPr>
                <w:rFonts w:ascii="Montserrat Alternates" w:hAnsi="Montserrat Alternates"/>
                <w:sz w:val="22"/>
                <w:lang w:eastAsia="en-GB"/>
              </w:rPr>
            </w:pPr>
            <w:r>
              <w:rPr>
                <w:rFonts w:ascii="Montserrat Alternates" w:hAnsi="Montserrat Alternates"/>
                <w:sz w:val="22"/>
                <w:lang w:eastAsia="en-GB"/>
              </w:rPr>
              <w:t>Lunch break</w:t>
            </w:r>
          </w:p>
        </w:tc>
      </w:tr>
      <w:tr w:rsidR="00170FD6" w:rsidRPr="00071FC1" w14:paraId="189DB29B" w14:textId="77777777" w:rsidTr="00E2199D">
        <w:tc>
          <w:tcPr>
            <w:tcW w:w="1029" w:type="pct"/>
          </w:tcPr>
          <w:p w14:paraId="1B988CAB" w14:textId="7E9C55E5" w:rsidR="00170FD6" w:rsidRPr="001111E0" w:rsidRDefault="00170FD6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 w:rsidRPr="001111E0">
              <w:rPr>
                <w:rFonts w:ascii="Montserrat Alternates" w:hAnsi="Montserrat Alternates"/>
                <w:sz w:val="22"/>
              </w:rPr>
              <w:t>1</w:t>
            </w:r>
            <w:r w:rsidR="00F67C13">
              <w:rPr>
                <w:rFonts w:ascii="Montserrat Alternates" w:hAnsi="Montserrat Alternates"/>
                <w:sz w:val="22"/>
              </w:rPr>
              <w:t>3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 w:rsidR="00F67C13"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0-</w:t>
            </w:r>
            <w:r w:rsidRPr="001111E0">
              <w:rPr>
                <w:rFonts w:ascii="Montserrat Alternates" w:hAnsi="Montserrat Alternates"/>
                <w:sz w:val="22"/>
              </w:rPr>
              <w:t>1</w:t>
            </w:r>
            <w:r w:rsidR="00F67C13">
              <w:rPr>
                <w:rFonts w:ascii="Montserrat Alternates" w:hAnsi="Montserrat Alternates"/>
                <w:sz w:val="22"/>
              </w:rPr>
              <w:t>4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00</w:t>
            </w:r>
          </w:p>
        </w:tc>
        <w:tc>
          <w:tcPr>
            <w:tcW w:w="3971" w:type="pct"/>
          </w:tcPr>
          <w:p w14:paraId="0F7248C6" w14:textId="77777777" w:rsidR="00F67C13" w:rsidRDefault="00F67C13" w:rsidP="00F67C13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Export Competition</w:t>
            </w:r>
          </w:p>
          <w:p w14:paraId="2E5E7D5E" w14:textId="77777777" w:rsidR="00F67C13" w:rsidRDefault="00F67C13" w:rsidP="00F67C1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79FC43C8" w14:textId="77777777" w:rsidR="00F67C13" w:rsidRPr="00A96460" w:rsidRDefault="00F67C13" w:rsidP="00F67C1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17CBA0F0" w14:textId="77777777" w:rsidR="00170FD6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79E9C7AA" w14:textId="77777777" w:rsidR="00170FD6" w:rsidRPr="008053FD" w:rsidRDefault="00170FD6" w:rsidP="00E2199D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Javier Ocampo, WTO </w:t>
            </w:r>
          </w:p>
        </w:tc>
      </w:tr>
    </w:tbl>
    <w:p w14:paraId="38790DD5" w14:textId="77777777" w:rsidR="00170FD6" w:rsidRDefault="00170FD6" w:rsidP="0096124C">
      <w:pPr>
        <w:pStyle w:val="Subtitle"/>
      </w:pPr>
    </w:p>
    <w:p w14:paraId="36607CF3" w14:textId="77777777" w:rsidR="00F67C13" w:rsidRDefault="00F67C13">
      <w:pPr>
        <w:jc w:val="left"/>
        <w:rPr>
          <w:rFonts w:eastAsia="Times New Roman"/>
          <w:b/>
          <w:iCs/>
          <w:szCs w:val="24"/>
        </w:rPr>
      </w:pPr>
      <w:r>
        <w:br w:type="page"/>
      </w: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F67C13" w:rsidRPr="001111E0" w14:paraId="3AEF7C81" w14:textId="77777777" w:rsidTr="00E2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EA63FEF" w14:textId="454EDFFB" w:rsidR="00F67C13" w:rsidRPr="001111E0" w:rsidRDefault="00F67C13" w:rsidP="00E2199D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lang w:eastAsia="en-GB"/>
              </w:rPr>
            </w:pPr>
            <w:r>
              <w:rPr>
                <w:rFonts w:ascii="Montserrat Alternates" w:hAnsi="Montserrat Alternates"/>
                <w:sz w:val="22"/>
              </w:rPr>
              <w:t>22</w:t>
            </w:r>
            <w:r w:rsidRPr="001111E0">
              <w:rPr>
                <w:rFonts w:ascii="Montserrat Alternates" w:hAnsi="Montserrat Alternates"/>
                <w:sz w:val="22"/>
              </w:rPr>
              <w:t xml:space="preserve"> </w:t>
            </w:r>
            <w:r>
              <w:rPr>
                <w:rFonts w:ascii="Montserrat Alternates" w:hAnsi="Montserrat Alternates"/>
                <w:sz w:val="22"/>
              </w:rPr>
              <w:t>October</w:t>
            </w:r>
            <w:r w:rsidRPr="001111E0">
              <w:rPr>
                <w:rFonts w:ascii="Montserrat Alternates" w:hAnsi="Montserrat Alternates"/>
                <w:sz w:val="22"/>
              </w:rPr>
              <w:t xml:space="preserve"> 202</w:t>
            </w:r>
            <w:r>
              <w:rPr>
                <w:rFonts w:ascii="Montserrat Alternates" w:hAnsi="Montserrat Alternates"/>
                <w:sz w:val="22"/>
              </w:rPr>
              <w:t>5</w:t>
            </w:r>
            <w:r w:rsidRPr="001111E0">
              <w:rPr>
                <w:rFonts w:ascii="Montserrat Alternates" w:hAnsi="Montserrat Alternates"/>
                <w:sz w:val="22"/>
                <w:lang w:eastAsia="en-GB"/>
              </w:rPr>
              <w:t xml:space="preserve"> </w:t>
            </w:r>
          </w:p>
        </w:tc>
      </w:tr>
      <w:tr w:rsidR="00F67C13" w:rsidRPr="00450A22" w14:paraId="62D566BD" w14:textId="77777777" w:rsidTr="00E2199D">
        <w:tc>
          <w:tcPr>
            <w:tcW w:w="1029" w:type="pct"/>
          </w:tcPr>
          <w:p w14:paraId="1088420C" w14:textId="3A1A993F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8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3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-1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0</w:t>
            </w:r>
          </w:p>
        </w:tc>
        <w:tc>
          <w:tcPr>
            <w:tcW w:w="3971" w:type="pct"/>
          </w:tcPr>
          <w:p w14:paraId="565A9063" w14:textId="77777777" w:rsidR="00F67C13" w:rsidRPr="001111E0" w:rsidRDefault="00F67C13" w:rsidP="00E2199D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6B62117C" w14:textId="77777777" w:rsidR="00F67C13" w:rsidRPr="00916E67" w:rsidRDefault="00F67C13" w:rsidP="00F67C13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Current rules and commitments</w:t>
            </w:r>
          </w:p>
          <w:p w14:paraId="2C45B4FD" w14:textId="77777777" w:rsidR="00F67C13" w:rsidRPr="00450A22" w:rsidRDefault="00F67C13" w:rsidP="00F67C13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Classification exercise 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</w:p>
          <w:p w14:paraId="093D19F7" w14:textId="77777777" w:rsidR="00F67C13" w:rsidRPr="000D4234" w:rsidRDefault="00F67C13" w:rsidP="00E2199D">
            <w:pPr>
              <w:pStyle w:val="Default"/>
              <w:ind w:left="720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  <w:p w14:paraId="0819DA39" w14:textId="77777777" w:rsidR="00F67C13" w:rsidRPr="001111E0" w:rsidRDefault="00F67C13" w:rsidP="00E2199D">
            <w:pPr>
              <w:pStyle w:val="Default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</w:tc>
      </w:tr>
      <w:tr w:rsidR="00F67C13" w:rsidRPr="001111E0" w14:paraId="0F2AAAF9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FD35D0B" w14:textId="5BFD92B6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 w:rsidRPr="001111E0">
              <w:rPr>
                <w:rFonts w:ascii="Montserrat Alternates" w:hAnsi="Montserrat Alternates"/>
                <w:sz w:val="22"/>
              </w:rPr>
              <w:t>1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0-1</w:t>
            </w:r>
            <w:r>
              <w:rPr>
                <w:rFonts w:ascii="Montserrat Alternates" w:hAnsi="Montserrat Alternates"/>
                <w:sz w:val="22"/>
              </w:rPr>
              <w:t>0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1</w:t>
            </w:r>
            <w:r w:rsidRPr="001111E0">
              <w:rPr>
                <w:rFonts w:ascii="Montserrat Alternates" w:hAnsi="Montserrat Alternates"/>
                <w:sz w:val="22"/>
              </w:rPr>
              <w:t>5</w:t>
            </w:r>
          </w:p>
        </w:tc>
        <w:tc>
          <w:tcPr>
            <w:tcW w:w="3971" w:type="pct"/>
          </w:tcPr>
          <w:p w14:paraId="5AA5368D" w14:textId="77777777" w:rsidR="00F67C13" w:rsidRPr="001111E0" w:rsidRDefault="00F67C13" w:rsidP="00E2199D">
            <w:pPr>
              <w:spacing w:line="240" w:lineRule="atLeast"/>
              <w:rPr>
                <w:rFonts w:ascii="Montserrat Alternates" w:hAnsi="Montserrat Alternates"/>
                <w:sz w:val="22"/>
                <w:lang w:eastAsia="en-GB"/>
              </w:rPr>
            </w:pPr>
            <w:r w:rsidRPr="001111E0">
              <w:rPr>
                <w:rFonts w:ascii="Montserrat Alternates" w:hAnsi="Montserrat Alternates"/>
                <w:sz w:val="22"/>
                <w:lang w:eastAsia="en-GB"/>
              </w:rPr>
              <w:t>Coffee break</w:t>
            </w:r>
          </w:p>
        </w:tc>
      </w:tr>
      <w:tr w:rsidR="00F67C13" w:rsidRPr="001111E0" w14:paraId="3C8B7B0F" w14:textId="77777777" w:rsidTr="00E2199D">
        <w:tc>
          <w:tcPr>
            <w:tcW w:w="1029" w:type="pct"/>
          </w:tcPr>
          <w:p w14:paraId="72EDCD93" w14:textId="1EB16093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10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1</w:t>
            </w:r>
            <w:r>
              <w:rPr>
                <w:rFonts w:ascii="Montserrat Alternates" w:hAnsi="Montserrat Alternates"/>
                <w:sz w:val="22"/>
              </w:rPr>
              <w:t>5</w:t>
            </w:r>
            <w:r w:rsidRPr="001111E0">
              <w:rPr>
                <w:rFonts w:ascii="Montserrat Alternates" w:hAnsi="Montserrat Alternates"/>
                <w:sz w:val="22"/>
              </w:rPr>
              <w:t>-1</w:t>
            </w:r>
            <w:r>
              <w:rPr>
                <w:rFonts w:ascii="Montserrat Alternates" w:hAnsi="Montserrat Alternates"/>
                <w:sz w:val="22"/>
              </w:rPr>
              <w:t>2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00</w:t>
            </w:r>
          </w:p>
        </w:tc>
        <w:tc>
          <w:tcPr>
            <w:tcW w:w="3971" w:type="pct"/>
          </w:tcPr>
          <w:p w14:paraId="27F4664E" w14:textId="77777777" w:rsidR="00F67C13" w:rsidRPr="001111E0" w:rsidRDefault="00F67C13" w:rsidP="00E2199D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6605995F" w14:textId="77777777" w:rsidR="00F67C13" w:rsidRPr="00FF7E60" w:rsidRDefault="00F67C13" w:rsidP="00F67C13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Classification exercise [continuation]</w:t>
            </w:r>
          </w:p>
          <w:p w14:paraId="0EF3132F" w14:textId="77777777" w:rsidR="00F67C13" w:rsidRPr="00F67C13" w:rsidRDefault="00F67C13" w:rsidP="00F67C13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Transparency requirements </w:t>
            </w:r>
          </w:p>
          <w:p w14:paraId="71085FCC" w14:textId="77777777" w:rsidR="00F67C13" w:rsidRPr="000D4234" w:rsidRDefault="00F67C13" w:rsidP="00E2199D">
            <w:pPr>
              <w:pStyle w:val="Default"/>
              <w:ind w:left="720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  <w:p w14:paraId="694FFC35" w14:textId="77777777" w:rsidR="00F67C13" w:rsidRPr="001111E0" w:rsidRDefault="00F67C13" w:rsidP="00E2199D">
            <w:pPr>
              <w:pStyle w:val="Default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</w:tc>
      </w:tr>
      <w:tr w:rsidR="00F67C13" w:rsidRPr="001111E0" w14:paraId="78CF1065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4DFCC750" w14:textId="09A5B9D1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 w:rsidRPr="001111E0">
              <w:rPr>
                <w:rFonts w:ascii="Montserrat Alternates" w:hAnsi="Montserrat Alternates"/>
                <w:sz w:val="22"/>
              </w:rPr>
              <w:t>1</w:t>
            </w:r>
            <w:r>
              <w:rPr>
                <w:rFonts w:ascii="Montserrat Alternates" w:hAnsi="Montserrat Alternates"/>
                <w:sz w:val="22"/>
              </w:rPr>
              <w:t>2</w:t>
            </w:r>
            <w:r>
              <w:rPr>
                <w:rFonts w:ascii="Montserrat Alternates" w:hAnsi="Montserrat Alternates"/>
                <w:sz w:val="22"/>
              </w:rPr>
              <w:t>:00</w:t>
            </w:r>
            <w:r w:rsidRPr="001111E0">
              <w:rPr>
                <w:rFonts w:ascii="Montserrat Alternates" w:hAnsi="Montserrat Alternates"/>
                <w:sz w:val="22"/>
              </w:rPr>
              <w:t>-1</w:t>
            </w:r>
            <w:r>
              <w:rPr>
                <w:rFonts w:ascii="Montserrat Alternates" w:hAnsi="Montserrat Alternates"/>
                <w:sz w:val="22"/>
              </w:rPr>
              <w:t>3</w:t>
            </w:r>
            <w:r w:rsidRPr="001111E0"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</w:t>
            </w:r>
          </w:p>
        </w:tc>
        <w:tc>
          <w:tcPr>
            <w:tcW w:w="3971" w:type="pct"/>
          </w:tcPr>
          <w:p w14:paraId="7577323C" w14:textId="77777777" w:rsidR="00F67C13" w:rsidRPr="001111E0" w:rsidRDefault="00F67C13" w:rsidP="00E2199D">
            <w:pPr>
              <w:spacing w:line="240" w:lineRule="atLeast"/>
              <w:rPr>
                <w:rFonts w:ascii="Montserrat Alternates" w:hAnsi="Montserrat Alternates"/>
                <w:sz w:val="22"/>
                <w:lang w:eastAsia="en-GB"/>
              </w:rPr>
            </w:pPr>
            <w:r w:rsidRPr="001111E0">
              <w:rPr>
                <w:rFonts w:ascii="Montserrat Alternates" w:hAnsi="Montserrat Alternates"/>
                <w:sz w:val="22"/>
                <w:lang w:eastAsia="en-GB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lang w:eastAsia="en-GB"/>
              </w:rPr>
              <w:t>Lunch break</w:t>
            </w:r>
          </w:p>
        </w:tc>
      </w:tr>
      <w:tr w:rsidR="00F67C13" w:rsidRPr="001111E0" w14:paraId="55833CE7" w14:textId="77777777" w:rsidTr="00E2199D">
        <w:tc>
          <w:tcPr>
            <w:tcW w:w="1029" w:type="pct"/>
          </w:tcPr>
          <w:p w14:paraId="490D32F9" w14:textId="60605061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>
              <w:rPr>
                <w:rFonts w:ascii="Montserrat Alternates" w:hAnsi="Montserrat Alternates"/>
                <w:sz w:val="22"/>
              </w:rPr>
              <w:t>13:00-13:</w:t>
            </w:r>
            <w:r w:rsidR="00585AB8">
              <w:rPr>
                <w:rFonts w:ascii="Montserrat Alternates" w:hAnsi="Montserrat Alternates"/>
                <w:sz w:val="22"/>
              </w:rPr>
              <w:t>30</w:t>
            </w:r>
          </w:p>
        </w:tc>
        <w:tc>
          <w:tcPr>
            <w:tcW w:w="3971" w:type="pct"/>
          </w:tcPr>
          <w:p w14:paraId="1A695233" w14:textId="2A925C79" w:rsidR="00F67C13" w:rsidRPr="001111E0" w:rsidRDefault="00F67C13" w:rsidP="00E2199D">
            <w:pPr>
              <w:spacing w:line="240" w:lineRule="atLeast"/>
              <w:rPr>
                <w:rFonts w:ascii="Montserrat Alternates" w:hAnsi="Montserrat Alternates"/>
                <w:sz w:val="22"/>
                <w:lang w:eastAsia="en-GB"/>
              </w:rPr>
            </w:pPr>
            <w:r>
              <w:rPr>
                <w:rFonts w:ascii="Montserrat Alternates" w:hAnsi="Montserrat Alternates"/>
                <w:sz w:val="22"/>
                <w:lang w:eastAsia="en-GB"/>
              </w:rPr>
              <w:t>Self-assessment Quiz</w:t>
            </w:r>
            <w:r w:rsidR="00585AB8">
              <w:rPr>
                <w:rFonts w:ascii="Montserrat Alternates" w:hAnsi="Montserrat Alternates"/>
                <w:sz w:val="22"/>
                <w:lang w:eastAsia="en-GB"/>
              </w:rPr>
              <w:t xml:space="preserve"> - Review</w:t>
            </w:r>
          </w:p>
        </w:tc>
      </w:tr>
      <w:tr w:rsidR="00F67C13" w:rsidRPr="00450A22" w14:paraId="0AA95B6E" w14:textId="77777777" w:rsidTr="00E21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3AB4E269" w14:textId="105234FA" w:rsidR="00F67C13" w:rsidRPr="001111E0" w:rsidRDefault="00F67C13" w:rsidP="00E2199D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</w:rPr>
            </w:pPr>
            <w:r w:rsidRPr="001111E0">
              <w:rPr>
                <w:rFonts w:ascii="Montserrat Alternates" w:hAnsi="Montserrat Alternates"/>
                <w:sz w:val="22"/>
              </w:rPr>
              <w:t>1</w:t>
            </w:r>
            <w:r>
              <w:rPr>
                <w:rFonts w:ascii="Montserrat Alternates" w:hAnsi="Montserrat Alternates"/>
                <w:sz w:val="22"/>
              </w:rPr>
              <w:t>3</w:t>
            </w:r>
            <w:r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3</w:t>
            </w:r>
            <w:r>
              <w:rPr>
                <w:rFonts w:ascii="Montserrat Alternates" w:hAnsi="Montserrat Alternates"/>
                <w:sz w:val="22"/>
              </w:rPr>
              <w:t>0-1</w:t>
            </w:r>
            <w:r>
              <w:rPr>
                <w:rFonts w:ascii="Montserrat Alternates" w:hAnsi="Montserrat Alternates"/>
                <w:sz w:val="22"/>
              </w:rPr>
              <w:t>4</w:t>
            </w:r>
            <w:r>
              <w:rPr>
                <w:rFonts w:ascii="Montserrat Alternates" w:hAnsi="Montserrat Alternates"/>
                <w:sz w:val="22"/>
              </w:rPr>
              <w:t>:</w:t>
            </w:r>
            <w:r>
              <w:rPr>
                <w:rFonts w:ascii="Montserrat Alternates" w:hAnsi="Montserrat Alternates"/>
                <w:sz w:val="22"/>
              </w:rPr>
              <w:t>0</w:t>
            </w:r>
            <w:r>
              <w:rPr>
                <w:rFonts w:ascii="Montserrat Alternates" w:hAnsi="Montserrat Alternates"/>
                <w:sz w:val="22"/>
              </w:rPr>
              <w:t>0</w:t>
            </w:r>
          </w:p>
        </w:tc>
        <w:tc>
          <w:tcPr>
            <w:tcW w:w="3971" w:type="pct"/>
          </w:tcPr>
          <w:p w14:paraId="485EA964" w14:textId="62B9DA9B" w:rsidR="00F67C13" w:rsidRPr="001111E0" w:rsidRDefault="00F67C13" w:rsidP="00E2199D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Closing </w:t>
            </w:r>
          </w:p>
          <w:p w14:paraId="60E95F5A" w14:textId="77777777" w:rsidR="00F67C13" w:rsidRDefault="00F67C13" w:rsidP="00F67C13">
            <w:pPr>
              <w:pStyle w:val="ListParagraph"/>
              <w:numPr>
                <w:ilvl w:val="0"/>
                <w:numId w:val="39"/>
              </w:numPr>
              <w:spacing w:line="240" w:lineRule="atLeast"/>
              <w:jc w:val="left"/>
              <w:rPr>
                <w:rFonts w:ascii="Montserrat Alternates" w:hAnsi="Montserrat Alternates"/>
                <w:sz w:val="22"/>
                <w:lang w:eastAsia="en-GB"/>
              </w:rPr>
            </w:pPr>
            <w:r>
              <w:rPr>
                <w:rFonts w:ascii="Montserrat Alternates" w:hAnsi="Montserrat Alternates"/>
                <w:sz w:val="22"/>
              </w:rPr>
              <w:t>Q&amp;A</w:t>
            </w:r>
          </w:p>
          <w:p w14:paraId="73FBF9C0" w14:textId="1B1F7E8D" w:rsidR="00F67C13" w:rsidRPr="00585AB8" w:rsidRDefault="00F67C13" w:rsidP="00E2199D">
            <w:pPr>
              <w:pStyle w:val="ListParagraph"/>
              <w:numPr>
                <w:ilvl w:val="0"/>
                <w:numId w:val="39"/>
              </w:numPr>
              <w:spacing w:line="240" w:lineRule="atLeast"/>
              <w:jc w:val="left"/>
              <w:rPr>
                <w:rFonts w:ascii="Montserrat Alternates" w:hAnsi="Montserrat Alternates"/>
                <w:sz w:val="22"/>
                <w:lang w:eastAsia="en-GB"/>
              </w:rPr>
            </w:pPr>
            <w:r w:rsidRPr="00585AB8">
              <w:rPr>
                <w:rFonts w:ascii="Montserrat Alternates" w:hAnsi="Montserrat Alternates"/>
                <w:sz w:val="22"/>
              </w:rPr>
              <w:t>Certificates</w:t>
            </w:r>
          </w:p>
          <w:p w14:paraId="24A936D5" w14:textId="3369AFB8" w:rsidR="00F67C13" w:rsidRPr="00450A22" w:rsidRDefault="00F67C13" w:rsidP="00E2199D">
            <w:pPr>
              <w:pStyle w:val="Default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</w:tc>
      </w:tr>
    </w:tbl>
    <w:p w14:paraId="2AE2B922" w14:textId="77777777" w:rsidR="00F67C13" w:rsidRDefault="00F67C13" w:rsidP="0096124C">
      <w:pPr>
        <w:pStyle w:val="Subtitle"/>
      </w:pPr>
    </w:p>
    <w:p w14:paraId="7B071671" w14:textId="77777777" w:rsidR="00585AB8" w:rsidRDefault="00585AB8" w:rsidP="00585AB8"/>
    <w:p w14:paraId="692964F1" w14:textId="77777777" w:rsidR="00585AB8" w:rsidRPr="00B72CA5" w:rsidRDefault="00585AB8" w:rsidP="00585AB8">
      <w:pPr>
        <w:pStyle w:val="Heading3"/>
        <w:numPr>
          <w:ilvl w:val="0"/>
          <w:numId w:val="0"/>
        </w:numPr>
      </w:pPr>
      <w:r>
        <w:t>Reference</w:t>
      </w:r>
      <w:r w:rsidRPr="00B72CA5">
        <w:t xml:space="preserve"> </w:t>
      </w:r>
      <w:r>
        <w:t>m</w:t>
      </w:r>
      <w:r w:rsidRPr="00B72CA5">
        <w:t xml:space="preserve">aterial </w:t>
      </w:r>
    </w:p>
    <w:p w14:paraId="74124EFC" w14:textId="77777777" w:rsidR="00585AB8" w:rsidRPr="006F2750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sz w:val="20"/>
          <w:lang w:val="en-US" w:eastAsia="zh-TW" w:bidi="th-TH"/>
        </w:rPr>
        <w:t xml:space="preserve">WTO Agreement on Agriculture, </w:t>
      </w: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WTO Agreement Series</w:t>
      </w:r>
    </w:p>
    <w:p w14:paraId="7D6D06CA" w14:textId="77777777" w:rsidR="00585AB8" w:rsidRPr="006F2750" w:rsidRDefault="00585AB8" w:rsidP="00585AB8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hyperlink r:id="rId8" w:history="1">
        <w:r w:rsidRPr="00C7232F">
          <w:rPr>
            <w:rStyle w:val="Hyperlink"/>
            <w:rFonts w:ascii="Arial" w:hAnsi="Arial" w:cs="Arial"/>
            <w:i/>
            <w:iCs/>
            <w:sz w:val="20"/>
            <w:lang w:val="en-US" w:eastAsia="zh-TW" w:bidi="th-TH"/>
          </w:rPr>
          <w:t>https://www.wto.org/english/res_e/booksp_e/agric_agreement_series_3_e.pdf</w:t>
        </w:r>
      </w:hyperlink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5AAA6D4A" w14:textId="77777777" w:rsidR="00585AB8" w:rsidRPr="006F2750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Decision on Measures concerning the possible negative effects of the reform programme on 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least-developed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 and net food importing developing 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countries</w:t>
      </w:r>
      <w:proofErr w:type="gramEnd"/>
    </w:p>
    <w:p w14:paraId="572F9E1A" w14:textId="77777777" w:rsidR="00585AB8" w:rsidRPr="006F2750" w:rsidRDefault="00585AB8" w:rsidP="00585AB8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hyperlink r:id="rId9" w:history="1">
        <w:r w:rsidRPr="00C7232F">
          <w:rPr>
            <w:rStyle w:val="Hyperlink"/>
            <w:rFonts w:ascii="Arial" w:hAnsi="Arial" w:cs="Arial"/>
            <w:i/>
            <w:iCs/>
            <w:sz w:val="20"/>
            <w:lang w:val="en-US" w:eastAsia="zh-TW" w:bidi="th-TH"/>
          </w:rPr>
          <w:t>https://www.wto.org/english/docs_e/legal_e/35-dag_e.htm</w:t>
        </w:r>
      </w:hyperlink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58D12CB3" w14:textId="77777777" w:rsidR="00585AB8" w:rsidRPr="00071FC1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071FC1">
        <w:rPr>
          <w:rFonts w:ascii="Arial" w:hAnsi="Arial" w:cs="Arial"/>
          <w:iCs/>
          <w:sz w:val="20"/>
          <w:lang w:eastAsia="zh-TW" w:bidi="th-TH"/>
        </w:rPr>
        <w:t>Committee on Agriculture webpage</w:t>
      </w:r>
    </w:p>
    <w:p w14:paraId="6BACC663" w14:textId="77777777" w:rsidR="00585AB8" w:rsidRPr="00C65B61" w:rsidRDefault="00585AB8" w:rsidP="00585AB8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0"/>
          <w:lang w:eastAsia="zh-TW" w:bidi="th-TH"/>
        </w:rPr>
      </w:pPr>
      <w:r w:rsidRPr="00071FC1">
        <w:rPr>
          <w:rFonts w:ascii="Arial" w:hAnsi="Arial" w:cs="Arial"/>
          <w:iCs/>
          <w:sz w:val="20"/>
          <w:lang w:eastAsia="zh-TW" w:bidi="th-TH"/>
        </w:rPr>
        <w:t>(</w:t>
      </w:r>
      <w:hyperlink r:id="rId10" w:history="1">
        <w:r w:rsidRPr="00071FC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https://www.wto.org/english/tratop_e/agric_e/ag_work_e.htm</w:t>
        </w:r>
      </w:hyperlink>
      <w:r w:rsidRPr="00071FC1">
        <w:t>)</w:t>
      </w:r>
    </w:p>
    <w:p w14:paraId="5E43AB5D" w14:textId="77777777" w:rsidR="00585AB8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Members' transparency toolkit</w:t>
      </w:r>
    </w:p>
    <w:p w14:paraId="65120219" w14:textId="77777777" w:rsidR="00585AB8" w:rsidRDefault="00585AB8" w:rsidP="00585AB8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eastAsia="zh-TW" w:bidi="th-TH"/>
        </w:rPr>
      </w:pPr>
      <w:r w:rsidRPr="00BC46C0"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1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https://www.wto.org/english/tratop_e/agric_e/transparency_toolkit_e.htm</w:t>
        </w:r>
      </w:hyperlink>
      <w:r w:rsidRPr="00BC46C0"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7EE767D3" w14:textId="77777777" w:rsidR="00585AB8" w:rsidRPr="00BC46C0" w:rsidRDefault="00585AB8" w:rsidP="00585AB8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BC46C0">
        <w:rPr>
          <w:rFonts w:ascii="Arial" w:hAnsi="Arial" w:cs="Arial"/>
          <w:iCs/>
          <w:sz w:val="20"/>
          <w:lang w:eastAsia="zh-TW" w:bidi="th-TH"/>
        </w:rPr>
        <w:t>Handbook on notification requirements</w:t>
      </w:r>
    </w:p>
    <w:p w14:paraId="0E86F554" w14:textId="77777777" w:rsidR="00585AB8" w:rsidRDefault="00585AB8" w:rsidP="00585AB8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2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https://www.wto.org/english/tratop_e/agric_e/ag_notif_e.pdf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6A7E4BBD" w14:textId="77777777" w:rsidR="00585AB8" w:rsidRPr="00BC46C0" w:rsidRDefault="00585AB8" w:rsidP="00585AB8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BC46C0">
        <w:rPr>
          <w:rFonts w:ascii="Arial" w:hAnsi="Arial" w:cs="Arial"/>
          <w:iCs/>
          <w:sz w:val="20"/>
          <w:lang w:eastAsia="zh-TW" w:bidi="th-TH"/>
        </w:rPr>
        <w:t>Agriculture Information management system</w:t>
      </w:r>
    </w:p>
    <w:p w14:paraId="0A2C82A8" w14:textId="77777777" w:rsidR="00585AB8" w:rsidRPr="00BC46C0" w:rsidRDefault="00585AB8" w:rsidP="00585AB8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3" w:history="1">
        <w:r w:rsidRPr="00C7232F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http://agims.wto.org/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689D1735" w14:textId="77777777" w:rsidR="00585AB8" w:rsidRPr="00E61736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Bali Ministerial D</w:t>
      </w:r>
      <w:r w:rsidRPr="00E61736">
        <w:rPr>
          <w:rFonts w:ascii="Arial" w:hAnsi="Arial" w:cs="Arial"/>
          <w:iCs/>
          <w:sz w:val="20"/>
          <w:lang w:eastAsia="zh-TW" w:bidi="th-TH"/>
        </w:rPr>
        <w:t>ecisions on agriculture:</w:t>
      </w:r>
    </w:p>
    <w:p w14:paraId="6D904496" w14:textId="77777777" w:rsidR="00585AB8" w:rsidRPr="00E61736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General Services - WT/MIN(13)/37 </w:t>
      </w:r>
    </w:p>
    <w:p w14:paraId="52A423C1" w14:textId="77777777" w:rsidR="00585AB8" w:rsidRPr="006F2750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13)/38</w:t>
      </w:r>
    </w:p>
    <w:p w14:paraId="7DFC874A" w14:textId="77777777" w:rsidR="00585AB8" w:rsidRPr="00E61736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>Tariff Rate Quota Administration - WT/MIN(13)/39</w:t>
      </w:r>
    </w:p>
    <w:p w14:paraId="5BDF1C77" w14:textId="77777777" w:rsidR="00585AB8" w:rsidRPr="00E61736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>Export Competition - WT/MIN(13)/40</w:t>
      </w:r>
    </w:p>
    <w:p w14:paraId="1953E15E" w14:textId="77777777" w:rsidR="00585AB8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>Cotton - WT/MIN(13)/41</w:t>
      </w:r>
    </w:p>
    <w:p w14:paraId="41F98859" w14:textId="77777777" w:rsidR="00585AB8" w:rsidRPr="006F2750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General Council Decision on Public Stockholding for Food Security Purposes – WT/L/939</w:t>
      </w:r>
    </w:p>
    <w:p w14:paraId="1CF096D3" w14:textId="77777777" w:rsidR="00585AB8" w:rsidRPr="00E61736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Nairobi Ministerial D</w:t>
      </w:r>
      <w:r w:rsidRPr="00E61736">
        <w:rPr>
          <w:rFonts w:ascii="Arial" w:hAnsi="Arial" w:cs="Arial"/>
          <w:iCs/>
          <w:sz w:val="20"/>
          <w:lang w:eastAsia="zh-TW" w:bidi="th-TH"/>
        </w:rPr>
        <w:t>ecisions on agriculture:</w:t>
      </w:r>
    </w:p>
    <w:p w14:paraId="54D6E3FC" w14:textId="77777777" w:rsidR="00585AB8" w:rsidRPr="006F2750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Special Safeguard Mechanism for developing country Members –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15)/43</w:t>
      </w:r>
    </w:p>
    <w:p w14:paraId="52F51163" w14:textId="77777777" w:rsidR="00585AB8" w:rsidRPr="006F2750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15)/44</w:t>
      </w:r>
    </w:p>
    <w:p w14:paraId="1EA8F0D0" w14:textId="77777777" w:rsidR="00585AB8" w:rsidRPr="00E61736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Export </w:t>
      </w:r>
      <w:r>
        <w:rPr>
          <w:rFonts w:ascii="Arial" w:hAnsi="Arial" w:cs="Arial"/>
          <w:iCs/>
          <w:sz w:val="20"/>
          <w:lang w:eastAsia="zh-TW" w:bidi="th-TH"/>
        </w:rPr>
        <w:t>Competition - WT/MIN(15)/45</w:t>
      </w:r>
    </w:p>
    <w:p w14:paraId="522B19FA" w14:textId="77777777" w:rsidR="00585AB8" w:rsidRDefault="00585AB8" w:rsidP="00585AB8">
      <w:pPr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Cotton - WT/MIN(15)/46</w:t>
      </w:r>
    </w:p>
    <w:p w14:paraId="5A90716C" w14:textId="77777777" w:rsidR="00585AB8" w:rsidRPr="006F2750" w:rsidRDefault="00585AB8" w:rsidP="00585AB8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Geneva/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Kazakhstan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Decisions on agriculture:</w:t>
      </w:r>
    </w:p>
    <w:p w14:paraId="725C21C2" w14:textId="77777777" w:rsidR="00585AB8" w:rsidRDefault="00585AB8" w:rsidP="00585AB8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Ministerial Declaration on the Emergency Response to Food Insecurity 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22)/28</w:t>
      </w:r>
    </w:p>
    <w:p w14:paraId="53881466" w14:textId="77777777" w:rsidR="00585AB8" w:rsidRDefault="00585AB8" w:rsidP="00585AB8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 on World Food Programme (WFP) Food Purchases Exemptions from Export Prohibitions or Restrictions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 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22)/29</w:t>
      </w:r>
    </w:p>
    <w:p w14:paraId="26836FE3" w14:textId="77777777" w:rsidR="00585AB8" w:rsidRPr="00B72CA5" w:rsidRDefault="00585AB8" w:rsidP="00585AB8">
      <w:pPr>
        <w:pStyle w:val="ListParagraph"/>
        <w:numPr>
          <w:ilvl w:val="0"/>
          <w:numId w:val="40"/>
        </w:numPr>
        <w:jc w:val="left"/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Ministerial Declaration on the WTO Response to the COVID-19 Pandemic and Preparedness for Future Pandemics 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22)/31</w:t>
      </w:r>
    </w:p>
    <w:p w14:paraId="25F95472" w14:textId="77777777" w:rsidR="00585AB8" w:rsidRPr="00585AB8" w:rsidRDefault="00585AB8" w:rsidP="00585AB8"/>
    <w:sectPr w:rsidR="00585AB8" w:rsidRPr="00585AB8" w:rsidSect="007773D2">
      <w:headerReference w:type="default" r:id="rId14"/>
      <w:headerReference w:type="first" r:id="rId15"/>
      <w:footerReference w:type="first" r:id="rId16"/>
      <w:type w:val="continuous"/>
      <w:pgSz w:w="11906" w:h="16838" w:code="9"/>
      <w:pgMar w:top="567" w:right="1440" w:bottom="340" w:left="1440" w:header="731" w:footer="3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834B" w14:textId="77777777" w:rsidR="006F2C72" w:rsidRDefault="006F2C72" w:rsidP="00ED54E0">
      <w:r>
        <w:separator/>
      </w:r>
    </w:p>
  </w:endnote>
  <w:endnote w:type="continuationSeparator" w:id="0">
    <w:p w14:paraId="130DE911" w14:textId="77777777" w:rsidR="006F2C72" w:rsidRDefault="006F2C7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504D" w14:textId="77777777" w:rsidR="00560552" w:rsidRPr="0048541C" w:rsidRDefault="00560552" w:rsidP="00560552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FR" w:eastAsia="ja-JP"/>
      </w:rPr>
    </w:pPr>
    <w:r w:rsidRPr="008874A4">
      <w:rPr>
        <w:sz w:val="16"/>
        <w:lang w:val="fr-FR"/>
      </w:rPr>
      <w:t xml:space="preserve">Centre William </w:t>
    </w:r>
    <w:proofErr w:type="spellStart"/>
    <w:r w:rsidRPr="008874A4">
      <w:rPr>
        <w:sz w:val="16"/>
        <w:lang w:val="fr-FR"/>
      </w:rPr>
      <w:t>Rappard</w:t>
    </w:r>
    <w:proofErr w:type="spellEnd"/>
    <w:r w:rsidRPr="008874A4">
      <w:rPr>
        <w:sz w:val="16"/>
        <w:lang w:val="fr-FR"/>
      </w:rPr>
      <w:t xml:space="preserve">    Rue de Lausanne 154    Cas</w:t>
    </w:r>
    <w:r w:rsidR="0048541C">
      <w:rPr>
        <w:sz w:val="16"/>
        <w:lang w:val="fr-FR"/>
      </w:rPr>
      <w:t>e postale    CH - 1211 Genève 2</w:t>
    </w:r>
  </w:p>
  <w:p w14:paraId="37018B0A" w14:textId="77777777" w:rsidR="00560552" w:rsidRPr="008874A4" w:rsidRDefault="00560552" w:rsidP="00560552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FR"/>
      </w:rPr>
    </w:pPr>
    <w:r w:rsidRPr="008874A4">
      <w:rPr>
        <w:sz w:val="16"/>
        <w:lang w:val="fr-FR"/>
      </w:rPr>
      <w:t xml:space="preserve"> </w:t>
    </w:r>
    <w:proofErr w:type="gramStart"/>
    <w:r w:rsidRPr="008874A4">
      <w:rPr>
        <w:sz w:val="16"/>
        <w:lang w:val="fr-FR"/>
      </w:rPr>
      <w:t>Téléphone:</w:t>
    </w:r>
    <w:proofErr w:type="gramEnd"/>
    <w:r w:rsidRPr="008874A4">
      <w:rPr>
        <w:sz w:val="16"/>
        <w:lang w:val="fr-FR"/>
      </w:rPr>
      <w:t xml:space="preserve">  (+41 22) 739 51 11    </w:t>
    </w:r>
    <w:proofErr w:type="gramStart"/>
    <w:r w:rsidRPr="008874A4">
      <w:rPr>
        <w:sz w:val="16"/>
        <w:szCs w:val="18"/>
        <w:lang w:val="fr-FR"/>
      </w:rPr>
      <w:t>Internet:</w:t>
    </w:r>
    <w:proofErr w:type="gramEnd"/>
    <w:r w:rsidRPr="008874A4">
      <w:rPr>
        <w:sz w:val="16"/>
        <w:szCs w:val="18"/>
        <w:lang w:val="fr-FR"/>
      </w:rPr>
      <w:t xml:space="preserve">  http://www.wto.org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71CC" w14:textId="77777777" w:rsidR="006F2C72" w:rsidRDefault="006F2C72" w:rsidP="00ED54E0">
      <w:r>
        <w:separator/>
      </w:r>
    </w:p>
  </w:footnote>
  <w:footnote w:type="continuationSeparator" w:id="0">
    <w:p w14:paraId="2A9C1D94" w14:textId="77777777" w:rsidR="006F2C72" w:rsidRDefault="006F2C7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C248" w14:textId="77777777" w:rsidR="00AC29C6" w:rsidRDefault="005A4231" w:rsidP="00AC29C6">
    <w:pPr>
      <w:pBdr>
        <w:bottom w:val="single" w:sz="4" w:space="6" w:color="auto"/>
      </w:pBdr>
      <w:tabs>
        <w:tab w:val="left" w:pos="-720"/>
        <w:tab w:val="right" w:pos="8931"/>
      </w:tabs>
      <w:jc w:val="center"/>
      <w:rPr>
        <w:b/>
        <w:smallCaps/>
        <w:sz w:val="28"/>
      </w:rPr>
    </w:pPr>
    <w:r w:rsidRPr="005A4231">
      <w:rPr>
        <w:b/>
        <w:smallCaps/>
        <w:sz w:val="24"/>
      </w:rPr>
      <w:t>WTO  OMC</w:t>
    </w:r>
  </w:p>
  <w:p w14:paraId="2F69087E" w14:textId="77777777" w:rsidR="005A4231" w:rsidRDefault="005A4231" w:rsidP="00AC29C6">
    <w:pPr>
      <w:pBdr>
        <w:bottom w:val="single" w:sz="4" w:space="6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F653D">
      <w:rPr>
        <w:noProof/>
      </w:rPr>
      <w:t>- 2 -</w:t>
    </w:r>
    <w:r>
      <w:fldChar w:fldCharType="end"/>
    </w:r>
  </w:p>
  <w:p w14:paraId="6B77966D" w14:textId="77777777" w:rsidR="005A4231" w:rsidRPr="005A4231" w:rsidRDefault="005A4231" w:rsidP="005A4231">
    <w:pPr>
      <w:pStyle w:val="Header"/>
    </w:pPr>
  </w:p>
  <w:p w14:paraId="65D2BD78" w14:textId="77777777" w:rsidR="005A4231" w:rsidRPr="005A4231" w:rsidRDefault="005A4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CE49" w14:textId="77777777" w:rsidR="005A79F3" w:rsidRDefault="008874A4" w:rsidP="005A79F3">
    <w:pPr>
      <w:pStyle w:val="Header"/>
      <w:jc w:val="center"/>
    </w:pPr>
    <w:r>
      <w:rPr>
        <w:noProof/>
      </w:rPr>
      <w:drawing>
        <wp:inline distT="0" distB="0" distL="0" distR="0" wp14:anchorId="2CCE876A" wp14:editId="0A2DA81B">
          <wp:extent cx="3217500" cy="956250"/>
          <wp:effectExtent l="0" t="0" r="254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BA40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25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CE9F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E2A3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0AB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44E9B"/>
    <w:multiLevelType w:val="hybridMultilevel"/>
    <w:tmpl w:val="539A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501"/>
    <w:multiLevelType w:val="hybridMultilevel"/>
    <w:tmpl w:val="AE6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0518"/>
    <w:multiLevelType w:val="hybridMultilevel"/>
    <w:tmpl w:val="1804C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6A93"/>
    <w:multiLevelType w:val="hybridMultilevel"/>
    <w:tmpl w:val="B436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075A666C"/>
    <w:numStyleLink w:val="LegalHeadings"/>
  </w:abstractNum>
  <w:abstractNum w:abstractNumId="16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58737D2B"/>
    <w:multiLevelType w:val="hybridMultilevel"/>
    <w:tmpl w:val="3B6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774E"/>
    <w:multiLevelType w:val="hybridMultilevel"/>
    <w:tmpl w:val="59CE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84F59"/>
    <w:multiLevelType w:val="hybridMultilevel"/>
    <w:tmpl w:val="AA9A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70870"/>
    <w:multiLevelType w:val="hybridMultilevel"/>
    <w:tmpl w:val="E352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2299"/>
    <w:multiLevelType w:val="hybridMultilevel"/>
    <w:tmpl w:val="086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58610">
    <w:abstractNumId w:val="9"/>
  </w:num>
  <w:num w:numId="2" w16cid:durableId="795951963">
    <w:abstractNumId w:val="7"/>
  </w:num>
  <w:num w:numId="3" w16cid:durableId="628897966">
    <w:abstractNumId w:val="6"/>
  </w:num>
  <w:num w:numId="4" w16cid:durableId="185022710">
    <w:abstractNumId w:val="5"/>
  </w:num>
  <w:num w:numId="5" w16cid:durableId="249433150">
    <w:abstractNumId w:val="4"/>
  </w:num>
  <w:num w:numId="6" w16cid:durableId="530386646">
    <w:abstractNumId w:val="16"/>
  </w:num>
  <w:num w:numId="7" w16cid:durableId="1478956675">
    <w:abstractNumId w:val="15"/>
  </w:num>
  <w:num w:numId="8" w16cid:durableId="970791501">
    <w:abstractNumId w:val="14"/>
  </w:num>
  <w:num w:numId="9" w16cid:durableId="1463842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322118">
    <w:abstractNumId w:val="19"/>
  </w:num>
  <w:num w:numId="11" w16cid:durableId="1618026137">
    <w:abstractNumId w:val="15"/>
  </w:num>
  <w:num w:numId="12" w16cid:durableId="639532249">
    <w:abstractNumId w:val="15"/>
  </w:num>
  <w:num w:numId="13" w16cid:durableId="1779057792">
    <w:abstractNumId w:val="15"/>
  </w:num>
  <w:num w:numId="14" w16cid:durableId="322046044">
    <w:abstractNumId w:val="15"/>
  </w:num>
  <w:num w:numId="15" w16cid:durableId="90585903">
    <w:abstractNumId w:val="15"/>
  </w:num>
  <w:num w:numId="16" w16cid:durableId="1270695393">
    <w:abstractNumId w:val="15"/>
  </w:num>
  <w:num w:numId="17" w16cid:durableId="1146704094">
    <w:abstractNumId w:val="15"/>
  </w:num>
  <w:num w:numId="18" w16cid:durableId="904216876">
    <w:abstractNumId w:val="15"/>
  </w:num>
  <w:num w:numId="19" w16cid:durableId="1040594441">
    <w:abstractNumId w:val="15"/>
  </w:num>
  <w:num w:numId="20" w16cid:durableId="932124520">
    <w:abstractNumId w:val="16"/>
  </w:num>
  <w:num w:numId="21" w16cid:durableId="1442068689">
    <w:abstractNumId w:val="14"/>
  </w:num>
  <w:num w:numId="22" w16cid:durableId="1387073615">
    <w:abstractNumId w:val="14"/>
  </w:num>
  <w:num w:numId="23" w16cid:durableId="1135366336">
    <w:abstractNumId w:val="14"/>
  </w:num>
  <w:num w:numId="24" w16cid:durableId="1441880331">
    <w:abstractNumId w:val="14"/>
  </w:num>
  <w:num w:numId="25" w16cid:durableId="1651669665">
    <w:abstractNumId w:val="14"/>
  </w:num>
  <w:num w:numId="26" w16cid:durableId="1721049262">
    <w:abstractNumId w:val="14"/>
  </w:num>
  <w:num w:numId="27" w16cid:durableId="2037389945">
    <w:abstractNumId w:val="19"/>
  </w:num>
  <w:num w:numId="28" w16cid:durableId="884371593">
    <w:abstractNumId w:val="8"/>
  </w:num>
  <w:num w:numId="29" w16cid:durableId="1800496011">
    <w:abstractNumId w:val="3"/>
  </w:num>
  <w:num w:numId="30" w16cid:durableId="1127624334">
    <w:abstractNumId w:val="2"/>
  </w:num>
  <w:num w:numId="31" w16cid:durableId="1114599758">
    <w:abstractNumId w:val="1"/>
  </w:num>
  <w:num w:numId="32" w16cid:durableId="2039356549">
    <w:abstractNumId w:val="0"/>
  </w:num>
  <w:num w:numId="33" w16cid:durableId="1507940397">
    <w:abstractNumId w:val="22"/>
  </w:num>
  <w:num w:numId="34" w16cid:durableId="1070036995">
    <w:abstractNumId w:val="13"/>
  </w:num>
  <w:num w:numId="35" w16cid:durableId="831995371">
    <w:abstractNumId w:val="12"/>
  </w:num>
  <w:num w:numId="36" w16cid:durableId="1377777129">
    <w:abstractNumId w:val="20"/>
  </w:num>
  <w:num w:numId="37" w16cid:durableId="1816290635">
    <w:abstractNumId w:val="18"/>
  </w:num>
  <w:num w:numId="38" w16cid:durableId="1759398632">
    <w:abstractNumId w:val="21"/>
  </w:num>
  <w:num w:numId="39" w16cid:durableId="1206794985">
    <w:abstractNumId w:val="10"/>
  </w:num>
  <w:num w:numId="40" w16cid:durableId="1014578604">
    <w:abstractNumId w:val="17"/>
  </w:num>
  <w:num w:numId="41" w16cid:durableId="1629117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C"/>
    <w:rsid w:val="000272F6"/>
    <w:rsid w:val="00037AC4"/>
    <w:rsid w:val="00056BF4"/>
    <w:rsid w:val="000B31E1"/>
    <w:rsid w:val="000C2ED9"/>
    <w:rsid w:val="000D2B61"/>
    <w:rsid w:val="000F035A"/>
    <w:rsid w:val="0011356B"/>
    <w:rsid w:val="00170FD6"/>
    <w:rsid w:val="001748B6"/>
    <w:rsid w:val="00182B84"/>
    <w:rsid w:val="001943F3"/>
    <w:rsid w:val="001D4514"/>
    <w:rsid w:val="001E291F"/>
    <w:rsid w:val="00233408"/>
    <w:rsid w:val="0024341C"/>
    <w:rsid w:val="0029055D"/>
    <w:rsid w:val="002D4C69"/>
    <w:rsid w:val="003572B4"/>
    <w:rsid w:val="00363F10"/>
    <w:rsid w:val="00392C41"/>
    <w:rsid w:val="003A5EC6"/>
    <w:rsid w:val="003C7E09"/>
    <w:rsid w:val="003D1BD0"/>
    <w:rsid w:val="00421350"/>
    <w:rsid w:val="00424BB7"/>
    <w:rsid w:val="00460612"/>
    <w:rsid w:val="00467032"/>
    <w:rsid w:val="0046754A"/>
    <w:rsid w:val="0048541C"/>
    <w:rsid w:val="004F203A"/>
    <w:rsid w:val="00522E59"/>
    <w:rsid w:val="005336B8"/>
    <w:rsid w:val="00560552"/>
    <w:rsid w:val="00585AB8"/>
    <w:rsid w:val="005A4231"/>
    <w:rsid w:val="005A79F3"/>
    <w:rsid w:val="005B04B9"/>
    <w:rsid w:val="005B68C7"/>
    <w:rsid w:val="005F30CB"/>
    <w:rsid w:val="006575B3"/>
    <w:rsid w:val="00674CCD"/>
    <w:rsid w:val="006F2C72"/>
    <w:rsid w:val="00700181"/>
    <w:rsid w:val="00705BFF"/>
    <w:rsid w:val="007141CF"/>
    <w:rsid w:val="007577E3"/>
    <w:rsid w:val="00760DB3"/>
    <w:rsid w:val="007773D2"/>
    <w:rsid w:val="007E4665"/>
    <w:rsid w:val="007E6507"/>
    <w:rsid w:val="008234B7"/>
    <w:rsid w:val="00840C2B"/>
    <w:rsid w:val="00862B8B"/>
    <w:rsid w:val="008739FD"/>
    <w:rsid w:val="008874A4"/>
    <w:rsid w:val="008E372C"/>
    <w:rsid w:val="00944DD4"/>
    <w:rsid w:val="0096124C"/>
    <w:rsid w:val="009A6F54"/>
    <w:rsid w:val="00A03192"/>
    <w:rsid w:val="00A6057A"/>
    <w:rsid w:val="00A74017"/>
    <w:rsid w:val="00AA332C"/>
    <w:rsid w:val="00AC27F8"/>
    <w:rsid w:val="00AC29C6"/>
    <w:rsid w:val="00AD4C72"/>
    <w:rsid w:val="00AE2AEE"/>
    <w:rsid w:val="00B5201B"/>
    <w:rsid w:val="00BB1F84"/>
    <w:rsid w:val="00BE1BEA"/>
    <w:rsid w:val="00BE5468"/>
    <w:rsid w:val="00C11EAC"/>
    <w:rsid w:val="00C30F2A"/>
    <w:rsid w:val="00C43456"/>
    <w:rsid w:val="00C56031"/>
    <w:rsid w:val="00C808FC"/>
    <w:rsid w:val="00CC4AEF"/>
    <w:rsid w:val="00CD7D97"/>
    <w:rsid w:val="00CE3EE6"/>
    <w:rsid w:val="00CE4BA1"/>
    <w:rsid w:val="00D000C7"/>
    <w:rsid w:val="00D747AE"/>
    <w:rsid w:val="00D862F1"/>
    <w:rsid w:val="00D9226C"/>
    <w:rsid w:val="00DA20BD"/>
    <w:rsid w:val="00DE50DB"/>
    <w:rsid w:val="00DF6AE1"/>
    <w:rsid w:val="00E00E83"/>
    <w:rsid w:val="00E126F8"/>
    <w:rsid w:val="00E131F8"/>
    <w:rsid w:val="00E17906"/>
    <w:rsid w:val="00E46FD5"/>
    <w:rsid w:val="00E544BB"/>
    <w:rsid w:val="00E56545"/>
    <w:rsid w:val="00ED54E0"/>
    <w:rsid w:val="00F010A3"/>
    <w:rsid w:val="00F32397"/>
    <w:rsid w:val="00F40595"/>
    <w:rsid w:val="00F67C13"/>
    <w:rsid w:val="00FA5DBC"/>
    <w:rsid w:val="00FA5EBC"/>
    <w:rsid w:val="00FD224A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74A58"/>
  <w15:docId w15:val="{7A38009A-BDB5-4151-BDF3-A59DBA0B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F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26F8"/>
    <w:pPr>
      <w:keepNext/>
      <w:keepLines/>
      <w:numPr>
        <w:numId w:val="20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26F8"/>
    <w:pPr>
      <w:keepNext/>
      <w:keepLines/>
      <w:numPr>
        <w:ilvl w:val="1"/>
        <w:numId w:val="20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26F8"/>
    <w:pPr>
      <w:keepNext/>
      <w:keepLines/>
      <w:numPr>
        <w:ilvl w:val="2"/>
        <w:numId w:val="20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26F8"/>
    <w:pPr>
      <w:keepNext/>
      <w:keepLines/>
      <w:numPr>
        <w:ilvl w:val="3"/>
        <w:numId w:val="20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26F8"/>
    <w:pPr>
      <w:keepNext/>
      <w:keepLines/>
      <w:numPr>
        <w:ilvl w:val="4"/>
        <w:numId w:val="20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26F8"/>
    <w:pPr>
      <w:keepNext/>
      <w:keepLines/>
      <w:numPr>
        <w:ilvl w:val="5"/>
        <w:numId w:val="20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26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26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26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126F8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E126F8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E126F8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E126F8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E126F8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E126F8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E126F8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E126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126F8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E126F8"/>
    <w:pPr>
      <w:numPr>
        <w:ilvl w:val="6"/>
        <w:numId w:val="20"/>
      </w:numPr>
      <w:spacing w:after="240"/>
    </w:pPr>
  </w:style>
  <w:style w:type="character" w:customStyle="1" w:styleId="BodyTextChar">
    <w:name w:val="Body Text Char"/>
    <w:link w:val="BodyText"/>
    <w:uiPriority w:val="1"/>
    <w:rsid w:val="00E126F8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E126F8"/>
    <w:pPr>
      <w:numPr>
        <w:ilvl w:val="7"/>
        <w:numId w:val="20"/>
      </w:numPr>
      <w:spacing w:after="240"/>
    </w:pPr>
  </w:style>
  <w:style w:type="character" w:customStyle="1" w:styleId="BodyText2Char">
    <w:name w:val="Body Text 2 Char"/>
    <w:link w:val="BodyText2"/>
    <w:uiPriority w:val="1"/>
    <w:rsid w:val="00E126F8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E126F8"/>
    <w:pPr>
      <w:numPr>
        <w:ilvl w:val="8"/>
        <w:numId w:val="20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126F8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E126F8"/>
    <w:pPr>
      <w:numPr>
        <w:numId w:val="6"/>
      </w:numPr>
    </w:pPr>
  </w:style>
  <w:style w:type="paragraph" w:styleId="ListBullet">
    <w:name w:val="List Bullet"/>
    <w:basedOn w:val="Normal"/>
    <w:uiPriority w:val="1"/>
    <w:rsid w:val="00E126F8"/>
    <w:pPr>
      <w:numPr>
        <w:numId w:val="26"/>
      </w:numPr>
      <w:spacing w:after="240"/>
    </w:pPr>
  </w:style>
  <w:style w:type="paragraph" w:styleId="ListBullet2">
    <w:name w:val="List Bullet 2"/>
    <w:basedOn w:val="Normal"/>
    <w:uiPriority w:val="1"/>
    <w:rsid w:val="00E126F8"/>
    <w:pPr>
      <w:numPr>
        <w:ilvl w:val="1"/>
        <w:numId w:val="26"/>
      </w:numPr>
      <w:spacing w:after="240"/>
    </w:pPr>
  </w:style>
  <w:style w:type="paragraph" w:styleId="ListBullet3">
    <w:name w:val="List Bullet 3"/>
    <w:basedOn w:val="Normal"/>
    <w:uiPriority w:val="1"/>
    <w:rsid w:val="00E126F8"/>
    <w:pPr>
      <w:numPr>
        <w:ilvl w:val="2"/>
        <w:numId w:val="26"/>
      </w:numPr>
      <w:spacing w:after="240"/>
    </w:pPr>
  </w:style>
  <w:style w:type="paragraph" w:styleId="ListBullet4">
    <w:name w:val="List Bullet 4"/>
    <w:basedOn w:val="Normal"/>
    <w:uiPriority w:val="1"/>
    <w:rsid w:val="00E126F8"/>
    <w:pPr>
      <w:numPr>
        <w:ilvl w:val="3"/>
        <w:numId w:val="26"/>
      </w:numPr>
      <w:spacing w:after="240"/>
    </w:pPr>
  </w:style>
  <w:style w:type="paragraph" w:styleId="ListBullet5">
    <w:name w:val="List Bullet 5"/>
    <w:basedOn w:val="Normal"/>
    <w:uiPriority w:val="1"/>
    <w:rsid w:val="00E126F8"/>
    <w:pPr>
      <w:numPr>
        <w:ilvl w:val="4"/>
        <w:numId w:val="26"/>
      </w:numPr>
      <w:spacing w:after="240"/>
    </w:pPr>
  </w:style>
  <w:style w:type="numbering" w:customStyle="1" w:styleId="ListBullets">
    <w:name w:val="ListBullets"/>
    <w:uiPriority w:val="99"/>
    <w:rsid w:val="00E126F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126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126F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126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26F8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26F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126F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126F8"/>
    <w:rPr>
      <w:szCs w:val="20"/>
    </w:rPr>
  </w:style>
  <w:style w:type="character" w:customStyle="1" w:styleId="EndnoteTextChar">
    <w:name w:val="Endnote Text Char"/>
    <w:link w:val="EndnoteText"/>
    <w:uiPriority w:val="99"/>
    <w:rsid w:val="00E126F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126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126F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126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126F8"/>
    <w:pPr>
      <w:ind w:left="567" w:right="567" w:firstLine="0"/>
    </w:pPr>
  </w:style>
  <w:style w:type="character" w:styleId="FootnoteReference">
    <w:name w:val="footnote reference"/>
    <w:uiPriority w:val="5"/>
    <w:rsid w:val="00E126F8"/>
    <w:rPr>
      <w:vertAlign w:val="superscript"/>
    </w:rPr>
  </w:style>
  <w:style w:type="paragraph" w:styleId="Header">
    <w:name w:val="header"/>
    <w:basedOn w:val="Normal"/>
    <w:link w:val="HeaderChar"/>
    <w:uiPriority w:val="3"/>
    <w:rsid w:val="00E126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2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126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26F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26F8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26F8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26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26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26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26F8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26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26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6F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126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126F8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E126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26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26F8"/>
    <w:pPr>
      <w:numPr>
        <w:numId w:val="27"/>
      </w:numPr>
      <w:spacing w:after="240"/>
    </w:pPr>
  </w:style>
  <w:style w:type="paragraph" w:styleId="ListParagraph">
    <w:name w:val="List Paragraph"/>
    <w:basedOn w:val="Normal"/>
    <w:uiPriority w:val="34"/>
    <w:qFormat/>
    <w:rsid w:val="00E126F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26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26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26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26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43F3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8234B7"/>
  </w:style>
  <w:style w:type="paragraph" w:styleId="BlockText">
    <w:name w:val="Block Text"/>
    <w:basedOn w:val="Normal"/>
    <w:uiPriority w:val="99"/>
    <w:semiHidden/>
    <w:unhideWhenUsed/>
    <w:rsid w:val="008234B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34B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34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34B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34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34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34B7"/>
    <w:rPr>
      <w:rFonts w:ascii="Verdana" w:hAnsi="Verdan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8234B7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234B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4B7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B7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34B7"/>
  </w:style>
  <w:style w:type="character" w:customStyle="1" w:styleId="DateChar">
    <w:name w:val="Date Char"/>
    <w:basedOn w:val="DefaultParagraphFont"/>
    <w:link w:val="Dat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4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4B7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34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Emphasis">
    <w:name w:val="Emphasis"/>
    <w:basedOn w:val="DefaultParagraphFont"/>
    <w:uiPriority w:val="99"/>
    <w:semiHidden/>
    <w:qFormat/>
    <w:rsid w:val="008234B7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234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34B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234B7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234B7"/>
  </w:style>
  <w:style w:type="paragraph" w:styleId="HTMLAddress">
    <w:name w:val="HTML Address"/>
    <w:basedOn w:val="Normal"/>
    <w:link w:val="HTMLAddressChar"/>
    <w:uiPriority w:val="99"/>
    <w:semiHidden/>
    <w:unhideWhenUsed/>
    <w:rsid w:val="008234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34B7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234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34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4B7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234B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34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34B7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34B7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34B7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34B7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34B7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34B7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34B7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34B7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34B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34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234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234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234B7"/>
    <w:rPr>
      <w:rFonts w:ascii="Verdana" w:hAnsi="Verdana"/>
      <w:b/>
      <w:bCs/>
      <w:i/>
      <w:iCs/>
      <w:color w:val="4F81BD" w:themeColor="accent1"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234B7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234B7"/>
  </w:style>
  <w:style w:type="paragraph" w:styleId="List">
    <w:name w:val="List"/>
    <w:basedOn w:val="Normal"/>
    <w:uiPriority w:val="99"/>
    <w:semiHidden/>
    <w:unhideWhenUsed/>
    <w:rsid w:val="008234B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34B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34B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34B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34B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234B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34B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34B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34B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34B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234B7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234B7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234B7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8234B7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234B7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23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34B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3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34B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234B7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34B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34B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34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34B7"/>
  </w:style>
  <w:style w:type="character" w:styleId="PlaceholderText">
    <w:name w:val="Placeholder Text"/>
    <w:basedOn w:val="DefaultParagraphFont"/>
    <w:uiPriority w:val="99"/>
    <w:semiHidden/>
    <w:rsid w:val="008234B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234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4B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234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234B7"/>
    <w:rPr>
      <w:rFonts w:ascii="Verdana" w:hAnsi="Verdana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34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34B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Strong">
    <w:name w:val="Strong"/>
    <w:basedOn w:val="DefaultParagraphFont"/>
    <w:uiPriority w:val="99"/>
    <w:semiHidden/>
    <w:qFormat/>
    <w:rsid w:val="008234B7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8234B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8234B7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8234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fault">
    <w:name w:val="Default"/>
    <w:rsid w:val="00170F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res_e/booksp_e/agric_agreement_series_3_e.pdf" TargetMode="External"/><Relationship Id="rId13" Type="http://schemas.openxmlformats.org/officeDocument/2006/relationships/hyperlink" Target="http://agims.wto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to.org/english/tratop_e/agric_e/ag_notif_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to.org/english/tratop_e/agric_e/transparency_toolkit_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to.org/english/tratop_e/agric_e/ag_work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to.org/english/docs_e/legal_e/35-dag_e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ampo\appdata\roaming\microsoft\templates\Letters%20&amp;%20Faxes\WTOEMAIL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5E9F-020C-4E44-A989-0535ECD6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WTOEMAIL_EN.DOTX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Ocampo, Javier</dc:creator>
  <cp:lastModifiedBy>Ocampo, Javier</cp:lastModifiedBy>
  <cp:revision>3</cp:revision>
  <dcterms:created xsi:type="dcterms:W3CDTF">2025-09-08T10:17:00Z</dcterms:created>
  <dcterms:modified xsi:type="dcterms:W3CDTF">2025-09-08T10:17:00Z</dcterms:modified>
</cp:coreProperties>
</file>