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F3" w:rsidRPr="00045C47" w:rsidRDefault="00A80CF3" w:rsidP="00F331AD">
      <w:pPr>
        <w:rPr>
          <w:caps/>
          <w:sz w:val="24"/>
          <w:szCs w:val="24"/>
          <w:u w:val="single"/>
        </w:rPr>
      </w:pPr>
    </w:p>
    <w:p w:rsidR="00603F33" w:rsidRDefault="00603F33" w:rsidP="00D75654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Draft Programme</w:t>
      </w:r>
    </w:p>
    <w:p w:rsidR="00D75654" w:rsidRPr="003B168D" w:rsidRDefault="00D75654" w:rsidP="00D75654">
      <w:pPr>
        <w:jc w:val="center"/>
        <w:rPr>
          <w:color w:val="000000"/>
          <w:sz w:val="48"/>
          <w:szCs w:val="48"/>
        </w:rPr>
      </w:pPr>
      <w:bookmarkStart w:id="0" w:name="_GoBack"/>
      <w:bookmarkEnd w:id="0"/>
      <w:r w:rsidRPr="003B168D">
        <w:rPr>
          <w:b/>
          <w:bCs/>
          <w:color w:val="000000"/>
          <w:sz w:val="48"/>
          <w:szCs w:val="48"/>
        </w:rPr>
        <w:t>National Workshop on the Economics of Trade Policy Instruments</w:t>
      </w:r>
    </w:p>
    <w:p w:rsidR="003B168D" w:rsidRDefault="00E82797" w:rsidP="00D756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 February</w:t>
      </w:r>
      <w:r w:rsidR="00D75654" w:rsidRPr="003B168D">
        <w:rPr>
          <w:b/>
          <w:bCs/>
          <w:color w:val="000000"/>
          <w:sz w:val="28"/>
          <w:szCs w:val="28"/>
        </w:rPr>
        <w:t>- 2</w:t>
      </w:r>
      <w:r w:rsidR="009652ED">
        <w:rPr>
          <w:b/>
          <w:bCs/>
          <w:color w:val="000000"/>
          <w:sz w:val="28"/>
          <w:szCs w:val="28"/>
        </w:rPr>
        <w:t>0</w:t>
      </w:r>
      <w:r w:rsidR="00D75654" w:rsidRPr="003B168D">
        <w:rPr>
          <w:b/>
          <w:bCs/>
          <w:color w:val="000000"/>
          <w:sz w:val="28"/>
          <w:szCs w:val="28"/>
        </w:rPr>
        <w:t xml:space="preserve"> </w:t>
      </w:r>
      <w:r w:rsidR="009652ED">
        <w:rPr>
          <w:b/>
          <w:bCs/>
          <w:color w:val="000000"/>
          <w:sz w:val="28"/>
          <w:szCs w:val="28"/>
        </w:rPr>
        <w:t>February</w:t>
      </w:r>
      <w:r w:rsidR="00D75654" w:rsidRPr="003B168D">
        <w:rPr>
          <w:b/>
          <w:bCs/>
          <w:color w:val="000000"/>
          <w:sz w:val="28"/>
          <w:szCs w:val="28"/>
        </w:rPr>
        <w:t xml:space="preserve"> 20</w:t>
      </w:r>
      <w:r w:rsidR="009652ED">
        <w:rPr>
          <w:b/>
          <w:bCs/>
          <w:color w:val="000000"/>
          <w:sz w:val="28"/>
          <w:szCs w:val="28"/>
        </w:rPr>
        <w:t>20</w:t>
      </w:r>
      <w:r w:rsidR="00D75654" w:rsidRPr="003B168D">
        <w:rPr>
          <w:b/>
          <w:bCs/>
          <w:color w:val="000000"/>
          <w:sz w:val="28"/>
          <w:szCs w:val="28"/>
        </w:rPr>
        <w:t xml:space="preserve"> </w:t>
      </w:r>
    </w:p>
    <w:p w:rsidR="00D75654" w:rsidRDefault="003E73D2" w:rsidP="00D756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Nay </w:t>
      </w:r>
      <w:proofErr w:type="spellStart"/>
      <w:r>
        <w:rPr>
          <w:b/>
          <w:bCs/>
          <w:color w:val="000000"/>
          <w:sz w:val="28"/>
          <w:szCs w:val="28"/>
        </w:rPr>
        <w:t>Pyi</w:t>
      </w:r>
      <w:proofErr w:type="spellEnd"/>
      <w:r>
        <w:rPr>
          <w:b/>
          <w:bCs/>
          <w:color w:val="000000"/>
          <w:sz w:val="28"/>
          <w:szCs w:val="28"/>
        </w:rPr>
        <w:t xml:space="preserve"> Daw and Yangon</w:t>
      </w:r>
    </w:p>
    <w:p w:rsidR="003E73D2" w:rsidRPr="00045C47" w:rsidRDefault="003E73D2" w:rsidP="00D75654">
      <w:pPr>
        <w:jc w:val="center"/>
        <w:rPr>
          <w:b/>
          <w:bCs/>
          <w:color w:val="000000"/>
          <w:sz w:val="24"/>
          <w:szCs w:val="24"/>
        </w:rPr>
      </w:pPr>
    </w:p>
    <w:p w:rsidR="00D75654" w:rsidRPr="00045C47" w:rsidRDefault="003E73D2" w:rsidP="00D75654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activity </w:t>
      </w:r>
      <w:r w:rsidR="00D75654" w:rsidRPr="00045C47">
        <w:rPr>
          <w:color w:val="000000"/>
          <w:sz w:val="24"/>
          <w:szCs w:val="24"/>
          <w:lang w:val="en-US"/>
        </w:rPr>
        <w:t>will cover the general framework of trade policy; the two main categories of trade policy instruments (i.e. tariff-related measures, and non-tariff measures); and will conclude with some remarks on the current challenges to trade policy.</w:t>
      </w:r>
    </w:p>
    <w:p w:rsidR="00D75654" w:rsidRPr="00045C47" w:rsidRDefault="003B168D" w:rsidP="00D75654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Working</w:t>
      </w:r>
      <w:r w:rsidRPr="003B168D">
        <w:rPr>
          <w:b/>
          <w:color w:val="000000"/>
          <w:sz w:val="24"/>
          <w:szCs w:val="24"/>
          <w:lang w:val="en-US"/>
        </w:rPr>
        <w:t xml:space="preserve"> Program</w:t>
      </w:r>
    </w:p>
    <w:p w:rsidR="009E4D95" w:rsidRPr="00045C47" w:rsidRDefault="009E4D95" w:rsidP="0027477D">
      <w:pPr>
        <w:rPr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09"/>
        <w:gridCol w:w="7837"/>
      </w:tblGrid>
      <w:tr w:rsidR="00A80CF3" w:rsidRPr="00045C47" w:rsidTr="00441D40">
        <w:tc>
          <w:tcPr>
            <w:tcW w:w="9646" w:type="dxa"/>
            <w:gridSpan w:val="2"/>
            <w:shd w:val="pct12" w:color="auto" w:fill="FFFFFF"/>
          </w:tcPr>
          <w:p w:rsidR="00A80CF3" w:rsidRPr="003B168D" w:rsidRDefault="00D75654" w:rsidP="007A1BF4">
            <w:pPr>
              <w:jc w:val="center"/>
              <w:rPr>
                <w:b/>
                <w:sz w:val="28"/>
                <w:szCs w:val="28"/>
              </w:rPr>
            </w:pPr>
            <w:r w:rsidRPr="003B168D">
              <w:rPr>
                <w:b/>
                <w:bCs/>
                <w:color w:val="000000"/>
                <w:sz w:val="28"/>
                <w:szCs w:val="28"/>
              </w:rPr>
              <w:t xml:space="preserve">Tuesday, </w:t>
            </w:r>
            <w:r w:rsidR="009652ED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3B16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652ED">
              <w:rPr>
                <w:b/>
                <w:bCs/>
                <w:color w:val="000000"/>
                <w:sz w:val="28"/>
                <w:szCs w:val="28"/>
              </w:rPr>
              <w:t>February</w:t>
            </w:r>
            <w:r w:rsidRPr="003B168D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9652ED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45C47" w:rsidRPr="00045C47" w:rsidTr="0027477D">
        <w:tc>
          <w:tcPr>
            <w:tcW w:w="1809" w:type="dxa"/>
            <w:shd w:val="clear" w:color="auto" w:fill="auto"/>
          </w:tcPr>
          <w:p w:rsidR="00045C47" w:rsidRPr="00045C47" w:rsidRDefault="009652ED" w:rsidP="00045C47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5C47" w:rsidRPr="00045C47">
              <w:rPr>
                <w:sz w:val="24"/>
                <w:szCs w:val="24"/>
              </w:rPr>
              <w:t xml:space="preserve">:30 – </w:t>
            </w:r>
            <w:r>
              <w:rPr>
                <w:sz w:val="24"/>
                <w:szCs w:val="24"/>
              </w:rPr>
              <w:t>10</w:t>
            </w:r>
            <w:r w:rsidR="00045C47" w:rsidRPr="00045C47">
              <w:rPr>
                <w:sz w:val="24"/>
                <w:szCs w:val="24"/>
              </w:rPr>
              <w:t>:00</w:t>
            </w:r>
          </w:p>
          <w:p w:rsidR="00045C47" w:rsidRPr="00045C47" w:rsidRDefault="00045C47" w:rsidP="00441D40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045C47" w:rsidRPr="00045C47" w:rsidRDefault="009652ED" w:rsidP="00045C47">
            <w:pPr>
              <w:tabs>
                <w:tab w:val="clear" w:pos="720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Meeting with Minister of Commerce</w:t>
            </w:r>
          </w:p>
          <w:p w:rsidR="00045C47" w:rsidRPr="00045C47" w:rsidRDefault="00045C47" w:rsidP="00441D40">
            <w:pPr>
              <w:tabs>
                <w:tab w:val="clear" w:pos="720"/>
              </w:tabs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A80CF3" w:rsidRPr="00045C47" w:rsidTr="0027477D">
        <w:tc>
          <w:tcPr>
            <w:tcW w:w="1809" w:type="dxa"/>
            <w:shd w:val="clear" w:color="auto" w:fill="auto"/>
          </w:tcPr>
          <w:p w:rsidR="00A80CF3" w:rsidRPr="00045C47" w:rsidRDefault="009652ED" w:rsidP="00441D40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4F6DFB" w:rsidRPr="00045C4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="004F6DFB" w:rsidRPr="00045C47">
              <w:rPr>
                <w:sz w:val="24"/>
                <w:szCs w:val="24"/>
              </w:rPr>
              <w:t>:30</w:t>
            </w:r>
          </w:p>
        </w:tc>
        <w:tc>
          <w:tcPr>
            <w:tcW w:w="7837" w:type="dxa"/>
            <w:shd w:val="clear" w:color="auto" w:fill="auto"/>
          </w:tcPr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9652ED">
              <w:rPr>
                <w:b/>
                <w:bCs/>
                <w:sz w:val="24"/>
                <w:szCs w:val="24"/>
              </w:rPr>
              <w:t xml:space="preserve">Tariffs and related measures </w:t>
            </w:r>
          </w:p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9652ED">
              <w:rPr>
                <w:sz w:val="24"/>
                <w:szCs w:val="24"/>
              </w:rPr>
              <w:t xml:space="preserve">Trade policies are the policies adopted by governments to impact international trade. These policies may involve a variety of different actions and make use of </w:t>
            </w:r>
            <w:proofErr w:type="gramStart"/>
            <w:r w:rsidRPr="009652ED">
              <w:rPr>
                <w:sz w:val="24"/>
                <w:szCs w:val="24"/>
              </w:rPr>
              <w:t>a number of</w:t>
            </w:r>
            <w:proofErr w:type="gramEnd"/>
            <w:r w:rsidRPr="009652ED">
              <w:rPr>
                <w:sz w:val="24"/>
                <w:szCs w:val="24"/>
              </w:rPr>
              <w:t xml:space="preserve"> different instruments. Among those are taxes on imports or exports, quantitative restrictions of international transactions, subsidies and many other </w:t>
            </w:r>
            <w:proofErr w:type="gramStart"/>
            <w:r w:rsidRPr="009652ED">
              <w:rPr>
                <w:sz w:val="24"/>
                <w:szCs w:val="24"/>
              </w:rPr>
              <w:t>measure</w:t>
            </w:r>
            <w:proofErr w:type="gramEnd"/>
            <w:r w:rsidRPr="009652ED">
              <w:rPr>
                <w:sz w:val="24"/>
                <w:szCs w:val="24"/>
              </w:rPr>
              <w:t xml:space="preserve"> that for convenience are often divided into two broad categories: tariffs and non-tariff measure (NTMs). This session will provide the definitions; frameworks; objectives of trade policy; and steps for analysis. </w:t>
            </w:r>
          </w:p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  <w:p w:rsidR="003B168D" w:rsidRPr="009652ED" w:rsidRDefault="009652ED" w:rsidP="009652ED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9652ED">
              <w:rPr>
                <w:sz w:val="24"/>
                <w:szCs w:val="24"/>
              </w:rPr>
              <w:t>Open discussion</w:t>
            </w:r>
          </w:p>
        </w:tc>
      </w:tr>
      <w:tr w:rsidR="007A1BF4" w:rsidRPr="00045C47" w:rsidTr="00274287">
        <w:tc>
          <w:tcPr>
            <w:tcW w:w="1809" w:type="dxa"/>
            <w:shd w:val="clear" w:color="auto" w:fill="auto"/>
          </w:tcPr>
          <w:p w:rsidR="007A1BF4" w:rsidRPr="00045C47" w:rsidRDefault="007A1BF4" w:rsidP="00856C76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12:</w:t>
            </w:r>
            <w:r w:rsidR="00856C76" w:rsidRPr="00045C47">
              <w:rPr>
                <w:sz w:val="24"/>
                <w:szCs w:val="24"/>
              </w:rPr>
              <w:t>0</w:t>
            </w:r>
            <w:r w:rsidRPr="00045C47">
              <w:rPr>
                <w:sz w:val="24"/>
                <w:szCs w:val="24"/>
              </w:rPr>
              <w:t>0 – 1</w:t>
            </w:r>
            <w:r w:rsidR="00856C76" w:rsidRPr="00045C47">
              <w:rPr>
                <w:sz w:val="24"/>
                <w:szCs w:val="24"/>
              </w:rPr>
              <w:t>3</w:t>
            </w:r>
            <w:r w:rsidRPr="00045C47">
              <w:rPr>
                <w:sz w:val="24"/>
                <w:szCs w:val="24"/>
              </w:rPr>
              <w:t>:</w:t>
            </w:r>
            <w:r w:rsidR="00856C76" w:rsidRPr="00045C47">
              <w:rPr>
                <w:sz w:val="24"/>
                <w:szCs w:val="24"/>
              </w:rPr>
              <w:t>3</w:t>
            </w:r>
            <w:r w:rsidRPr="00045C47">
              <w:rPr>
                <w:sz w:val="24"/>
                <w:szCs w:val="24"/>
              </w:rPr>
              <w:t>0</w:t>
            </w:r>
          </w:p>
        </w:tc>
        <w:tc>
          <w:tcPr>
            <w:tcW w:w="7837" w:type="dxa"/>
            <w:shd w:val="clear" w:color="auto" w:fill="auto"/>
          </w:tcPr>
          <w:p w:rsidR="007A1BF4" w:rsidRDefault="007A1BF4" w:rsidP="00353514">
            <w:pPr>
              <w:jc w:val="left"/>
              <w:rPr>
                <w:iCs/>
                <w:sz w:val="24"/>
                <w:szCs w:val="24"/>
              </w:rPr>
            </w:pPr>
            <w:r w:rsidRPr="00045C47">
              <w:rPr>
                <w:iCs/>
                <w:sz w:val="24"/>
                <w:szCs w:val="24"/>
              </w:rPr>
              <w:t>Lunch</w:t>
            </w:r>
            <w:r w:rsidR="003B168D">
              <w:rPr>
                <w:iCs/>
                <w:sz w:val="24"/>
                <w:szCs w:val="24"/>
              </w:rPr>
              <w:t xml:space="preserve"> Break</w:t>
            </w:r>
          </w:p>
          <w:p w:rsidR="003B168D" w:rsidRPr="00045C47" w:rsidRDefault="003B168D" w:rsidP="00353514">
            <w:pPr>
              <w:jc w:val="left"/>
              <w:rPr>
                <w:iCs/>
                <w:sz w:val="24"/>
                <w:szCs w:val="24"/>
              </w:rPr>
            </w:pPr>
          </w:p>
        </w:tc>
      </w:tr>
      <w:tr w:rsidR="007A1BF4" w:rsidRPr="00045C47" w:rsidTr="0027477D">
        <w:tc>
          <w:tcPr>
            <w:tcW w:w="1809" w:type="dxa"/>
            <w:shd w:val="clear" w:color="auto" w:fill="auto"/>
          </w:tcPr>
          <w:p w:rsidR="007A1BF4" w:rsidRPr="00045C47" w:rsidRDefault="0067004C" w:rsidP="00550FEB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</w:t>
            </w:r>
            <w:r w:rsidR="00856C76" w:rsidRPr="00045C47">
              <w:rPr>
                <w:sz w:val="24"/>
                <w:szCs w:val="24"/>
              </w:rPr>
              <w:t>3</w:t>
            </w:r>
            <w:r w:rsidRPr="00045C47">
              <w:rPr>
                <w:sz w:val="24"/>
                <w:szCs w:val="24"/>
              </w:rPr>
              <w:t>:</w:t>
            </w:r>
            <w:r w:rsidR="00856C76" w:rsidRPr="00045C47">
              <w:rPr>
                <w:sz w:val="24"/>
                <w:szCs w:val="24"/>
              </w:rPr>
              <w:t>3</w:t>
            </w:r>
            <w:r w:rsidRPr="00045C47">
              <w:rPr>
                <w:sz w:val="24"/>
                <w:szCs w:val="24"/>
              </w:rPr>
              <w:t>0 – 15:</w:t>
            </w:r>
            <w:r w:rsidR="00856C76" w:rsidRPr="00045C47">
              <w:rPr>
                <w:sz w:val="24"/>
                <w:szCs w:val="24"/>
              </w:rPr>
              <w:t>0</w:t>
            </w:r>
            <w:r w:rsidRPr="00045C47">
              <w:rPr>
                <w:sz w:val="24"/>
                <w:szCs w:val="24"/>
              </w:rPr>
              <w:t>0</w:t>
            </w:r>
          </w:p>
        </w:tc>
        <w:tc>
          <w:tcPr>
            <w:tcW w:w="7837" w:type="dxa"/>
            <w:shd w:val="clear" w:color="auto" w:fill="auto"/>
          </w:tcPr>
          <w:p w:rsidR="00D75654" w:rsidRPr="00045C47" w:rsidRDefault="00D75654" w:rsidP="00D75654">
            <w:pPr>
              <w:pStyle w:val="ListParagraph"/>
              <w:ind w:left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045C4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Tariffs and related measures </w:t>
            </w:r>
            <w:r w:rsidRPr="00045C4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75654" w:rsidRDefault="00D75654" w:rsidP="00D75654">
            <w:pPr>
              <w:pStyle w:val="ListParagraph"/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045C47">
              <w:rPr>
                <w:color w:val="000000"/>
                <w:sz w:val="24"/>
                <w:szCs w:val="24"/>
                <w:lang w:val="en-US"/>
              </w:rPr>
              <w:t>The following trade policy instruments will be analyzed and their impact assessed: Tariffs; other duties and charges on imports and exports; trade facilitation measures, including customs valuation, pre-shipment inspection, and fees and charges; duty and tax exemptions; contingency trade remedies; and rules of origin.</w:t>
            </w:r>
          </w:p>
          <w:p w:rsidR="0059260B" w:rsidRPr="00045C47" w:rsidRDefault="0059260B" w:rsidP="00D75654">
            <w:pPr>
              <w:pStyle w:val="ListParagraph"/>
              <w:ind w:left="0"/>
              <w:rPr>
                <w:color w:val="000000"/>
                <w:sz w:val="24"/>
                <w:szCs w:val="24"/>
                <w:lang w:val="en-US"/>
              </w:rPr>
            </w:pPr>
          </w:p>
          <w:p w:rsidR="00D42A8E" w:rsidRPr="00045C47" w:rsidRDefault="0059260B" w:rsidP="00D75654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Open discussion</w:t>
            </w:r>
          </w:p>
        </w:tc>
      </w:tr>
      <w:tr w:rsidR="0067004C" w:rsidRPr="00045C47" w:rsidTr="0027477D">
        <w:tc>
          <w:tcPr>
            <w:tcW w:w="1809" w:type="dxa"/>
            <w:shd w:val="clear" w:color="auto" w:fill="auto"/>
          </w:tcPr>
          <w:p w:rsidR="0067004C" w:rsidRPr="00045C47" w:rsidRDefault="0067004C" w:rsidP="00856C76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15:</w:t>
            </w:r>
            <w:r w:rsidR="00856C76" w:rsidRPr="00045C47">
              <w:rPr>
                <w:sz w:val="24"/>
                <w:szCs w:val="24"/>
              </w:rPr>
              <w:t>0</w:t>
            </w:r>
            <w:r w:rsidRPr="00045C47">
              <w:rPr>
                <w:sz w:val="24"/>
                <w:szCs w:val="24"/>
              </w:rPr>
              <w:t>0 – 15:</w:t>
            </w:r>
            <w:r w:rsidR="00856C76" w:rsidRPr="00045C47">
              <w:rPr>
                <w:sz w:val="24"/>
                <w:szCs w:val="24"/>
              </w:rPr>
              <w:t>15</w:t>
            </w:r>
          </w:p>
        </w:tc>
        <w:tc>
          <w:tcPr>
            <w:tcW w:w="7837" w:type="dxa"/>
            <w:shd w:val="clear" w:color="auto" w:fill="auto"/>
          </w:tcPr>
          <w:p w:rsidR="0067004C" w:rsidRPr="00045C47" w:rsidRDefault="0067004C" w:rsidP="003C7A56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Coffee Break</w:t>
            </w:r>
          </w:p>
        </w:tc>
      </w:tr>
      <w:tr w:rsidR="0067004C" w:rsidRPr="00045C47" w:rsidTr="0027477D">
        <w:tc>
          <w:tcPr>
            <w:tcW w:w="1809" w:type="dxa"/>
            <w:shd w:val="clear" w:color="auto" w:fill="auto"/>
          </w:tcPr>
          <w:p w:rsidR="0067004C" w:rsidRPr="00045C47" w:rsidRDefault="0067004C" w:rsidP="00856C76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15:</w:t>
            </w:r>
            <w:r w:rsidR="00856C76" w:rsidRPr="00045C47">
              <w:rPr>
                <w:sz w:val="24"/>
                <w:szCs w:val="24"/>
              </w:rPr>
              <w:t>1</w:t>
            </w:r>
            <w:r w:rsidRPr="00045C47">
              <w:rPr>
                <w:sz w:val="24"/>
                <w:szCs w:val="24"/>
              </w:rPr>
              <w:t>5 – 16:</w:t>
            </w:r>
            <w:r w:rsidR="00856C76" w:rsidRPr="00045C47">
              <w:rPr>
                <w:sz w:val="24"/>
                <w:szCs w:val="24"/>
              </w:rPr>
              <w:t>0</w:t>
            </w:r>
            <w:r w:rsidRPr="00045C47">
              <w:rPr>
                <w:sz w:val="24"/>
                <w:szCs w:val="24"/>
              </w:rPr>
              <w:t>0</w:t>
            </w:r>
          </w:p>
        </w:tc>
        <w:tc>
          <w:tcPr>
            <w:tcW w:w="7837" w:type="dxa"/>
            <w:shd w:val="clear" w:color="auto" w:fill="auto"/>
          </w:tcPr>
          <w:p w:rsidR="0059260B" w:rsidRDefault="00D75654" w:rsidP="00045C47">
            <w:pPr>
              <w:tabs>
                <w:tab w:val="clear" w:pos="720"/>
              </w:tabs>
              <w:jc w:val="lef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C47">
              <w:rPr>
                <w:b/>
                <w:bCs/>
                <w:color w:val="000000"/>
                <w:sz w:val="24"/>
                <w:szCs w:val="24"/>
              </w:rPr>
              <w:t xml:space="preserve">Session II: </w:t>
            </w:r>
            <w:r w:rsidRPr="00045C4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Tariffs and related measures </w:t>
            </w:r>
            <w:r w:rsidR="00045C47" w:rsidRPr="00045C47">
              <w:rPr>
                <w:b/>
                <w:bCs/>
                <w:color w:val="000000"/>
                <w:sz w:val="24"/>
                <w:szCs w:val="24"/>
                <w:lang w:val="en-US"/>
              </w:rPr>
              <w:t>(continued)</w:t>
            </w:r>
          </w:p>
          <w:p w:rsidR="00954F32" w:rsidRPr="00045C47" w:rsidRDefault="00D75654" w:rsidP="00045C47">
            <w:pPr>
              <w:tabs>
                <w:tab w:val="clear" w:pos="720"/>
              </w:tabs>
              <w:jc w:val="left"/>
              <w:rPr>
                <w:b/>
                <w:sz w:val="24"/>
                <w:szCs w:val="24"/>
              </w:rPr>
            </w:pPr>
            <w:r w:rsidRPr="00045C47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9260B">
              <w:rPr>
                <w:sz w:val="24"/>
                <w:szCs w:val="24"/>
              </w:rPr>
              <w:t>Open discussion</w:t>
            </w:r>
          </w:p>
        </w:tc>
      </w:tr>
      <w:tr w:rsidR="00A80CF3" w:rsidRPr="00045C47" w:rsidTr="00441D40">
        <w:tc>
          <w:tcPr>
            <w:tcW w:w="9646" w:type="dxa"/>
            <w:gridSpan w:val="2"/>
            <w:shd w:val="pct12" w:color="auto" w:fill="FFFFFF"/>
          </w:tcPr>
          <w:p w:rsidR="00A80CF3" w:rsidRPr="003B168D" w:rsidRDefault="006C35DD" w:rsidP="00833D1D">
            <w:pPr>
              <w:jc w:val="center"/>
              <w:rPr>
                <w:b/>
                <w:sz w:val="28"/>
                <w:szCs w:val="28"/>
              </w:rPr>
            </w:pPr>
            <w:r w:rsidRPr="00045C47">
              <w:rPr>
                <w:sz w:val="24"/>
                <w:szCs w:val="24"/>
              </w:rPr>
              <w:lastRenderedPageBreak/>
              <w:br w:type="page"/>
            </w:r>
            <w:r w:rsidR="00D75654" w:rsidRPr="003B168D">
              <w:rPr>
                <w:b/>
                <w:bCs/>
                <w:color w:val="000000"/>
                <w:sz w:val="28"/>
                <w:szCs w:val="28"/>
              </w:rPr>
              <w:t xml:space="preserve">Wednesday, </w:t>
            </w:r>
            <w:r w:rsidR="009652ED">
              <w:rPr>
                <w:b/>
                <w:bCs/>
                <w:color w:val="000000"/>
                <w:sz w:val="28"/>
                <w:szCs w:val="28"/>
              </w:rPr>
              <w:t>19 February</w:t>
            </w:r>
            <w:r w:rsidR="00D75654" w:rsidRPr="003B168D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9652ED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  <w:p w:rsidR="00833D1D" w:rsidRPr="00045C47" w:rsidRDefault="00833D1D" w:rsidP="00833D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93" w:rsidRPr="00045C47" w:rsidTr="00045C47">
        <w:trPr>
          <w:trHeight w:val="771"/>
        </w:trPr>
        <w:tc>
          <w:tcPr>
            <w:tcW w:w="1809" w:type="dxa"/>
            <w:shd w:val="clear" w:color="auto" w:fill="auto"/>
          </w:tcPr>
          <w:p w:rsidR="00E41C93" w:rsidRPr="00045C47" w:rsidRDefault="00D75654" w:rsidP="00FC48BB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09:00 – 10:30    </w:t>
            </w:r>
          </w:p>
          <w:p w:rsidR="00E41C93" w:rsidRPr="00045C47" w:rsidRDefault="00E41C93" w:rsidP="00F83F38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9652ED" w:rsidRPr="009652ED" w:rsidRDefault="009652ED" w:rsidP="009652E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652ED">
              <w:rPr>
                <w:b/>
                <w:bCs/>
                <w:sz w:val="24"/>
                <w:szCs w:val="24"/>
                <w:lang w:val="en-US"/>
              </w:rPr>
              <w:t>Non-tariff measures:</w:t>
            </w:r>
          </w:p>
          <w:p w:rsidR="009652ED" w:rsidRPr="009652ED" w:rsidRDefault="009652ED" w:rsidP="009652ED">
            <w:pPr>
              <w:rPr>
                <w:sz w:val="24"/>
                <w:szCs w:val="24"/>
                <w:lang w:val="en-US"/>
              </w:rPr>
            </w:pPr>
          </w:p>
          <w:p w:rsidR="009652ED" w:rsidRPr="009652ED" w:rsidRDefault="009652ED" w:rsidP="009652ED">
            <w:pPr>
              <w:rPr>
                <w:sz w:val="24"/>
                <w:szCs w:val="24"/>
                <w:lang w:val="en-US"/>
              </w:rPr>
            </w:pPr>
            <w:r w:rsidRPr="009652ED">
              <w:rPr>
                <w:sz w:val="24"/>
                <w:szCs w:val="24"/>
                <w:lang w:val="en-US"/>
              </w:rPr>
              <w:t xml:space="preserve">The following trade policy instruments will be analyzed and their impact assessed: prohibitions, quantitative restrictions and licensing; SPS and </w:t>
            </w:r>
            <w:proofErr w:type="gramStart"/>
            <w:r w:rsidRPr="009652ED">
              <w:rPr>
                <w:sz w:val="24"/>
                <w:szCs w:val="24"/>
                <w:lang w:val="en-US"/>
              </w:rPr>
              <w:t>TBT;  TRIMs</w:t>
            </w:r>
            <w:proofErr w:type="gramEnd"/>
            <w:r w:rsidRPr="009652ED">
              <w:rPr>
                <w:sz w:val="24"/>
                <w:szCs w:val="24"/>
                <w:lang w:val="en-US"/>
              </w:rPr>
              <w:t xml:space="preserve">;  subsidies and other promotion measures, including export processing zones; competition policy and price controls;  state trading and SOEs; government procurement; and IPRs. </w:t>
            </w:r>
          </w:p>
          <w:p w:rsidR="009652ED" w:rsidRPr="009652ED" w:rsidRDefault="009652ED" w:rsidP="009652ED">
            <w:pPr>
              <w:rPr>
                <w:sz w:val="24"/>
                <w:szCs w:val="24"/>
                <w:lang w:val="en-US"/>
              </w:rPr>
            </w:pPr>
          </w:p>
          <w:p w:rsidR="009652ED" w:rsidRPr="009652ED" w:rsidRDefault="009652ED" w:rsidP="009652ED">
            <w:pPr>
              <w:rPr>
                <w:sz w:val="24"/>
                <w:szCs w:val="24"/>
              </w:rPr>
            </w:pPr>
            <w:r w:rsidRPr="009652ED">
              <w:rPr>
                <w:sz w:val="24"/>
                <w:szCs w:val="24"/>
              </w:rPr>
              <w:t>Open discussion</w:t>
            </w:r>
          </w:p>
          <w:p w:rsidR="0059260B" w:rsidRPr="00045C47" w:rsidRDefault="0059260B" w:rsidP="00045C47">
            <w:pPr>
              <w:rPr>
                <w:sz w:val="24"/>
                <w:szCs w:val="24"/>
                <w:lang w:val="en-US"/>
              </w:rPr>
            </w:pPr>
          </w:p>
        </w:tc>
      </w:tr>
      <w:tr w:rsidR="00E41C93" w:rsidRPr="00045C47" w:rsidTr="0027477D">
        <w:tc>
          <w:tcPr>
            <w:tcW w:w="1809" w:type="dxa"/>
            <w:shd w:val="clear" w:color="auto" w:fill="auto"/>
          </w:tcPr>
          <w:p w:rsidR="00E41C93" w:rsidRPr="00045C47" w:rsidRDefault="00D75654" w:rsidP="00E13217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10:30 – 10:45    </w:t>
            </w:r>
          </w:p>
        </w:tc>
        <w:tc>
          <w:tcPr>
            <w:tcW w:w="7837" w:type="dxa"/>
            <w:shd w:val="clear" w:color="auto" w:fill="auto"/>
          </w:tcPr>
          <w:p w:rsidR="00E41C93" w:rsidRPr="00045C47" w:rsidRDefault="00E41C93" w:rsidP="00441D40">
            <w:pPr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Coffee</w:t>
            </w:r>
            <w:r w:rsidR="009613A6" w:rsidRPr="00045C47">
              <w:rPr>
                <w:sz w:val="24"/>
                <w:szCs w:val="24"/>
              </w:rPr>
              <w:t xml:space="preserve"> Break</w:t>
            </w:r>
          </w:p>
        </w:tc>
      </w:tr>
      <w:tr w:rsidR="00E41C93" w:rsidRPr="00045C47" w:rsidTr="0027477D">
        <w:tc>
          <w:tcPr>
            <w:tcW w:w="1809" w:type="dxa"/>
            <w:shd w:val="clear" w:color="auto" w:fill="auto"/>
          </w:tcPr>
          <w:p w:rsidR="00BD4F74" w:rsidRPr="00045C47" w:rsidRDefault="00D75654" w:rsidP="006A5FB2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10:45 – 12:00    </w:t>
            </w:r>
          </w:p>
          <w:p w:rsidR="00BD4F74" w:rsidRPr="00045C47" w:rsidRDefault="00BD4F74" w:rsidP="006A5FB2">
            <w:pPr>
              <w:tabs>
                <w:tab w:val="clear" w:pos="72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37" w:type="dxa"/>
            <w:shd w:val="clear" w:color="auto" w:fill="auto"/>
          </w:tcPr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9652ED">
              <w:rPr>
                <w:b/>
                <w:bCs/>
                <w:sz w:val="24"/>
                <w:szCs w:val="24"/>
              </w:rPr>
              <w:t>Non-Tariff Measures: (continued)</w:t>
            </w:r>
          </w:p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b/>
                <w:bCs/>
                <w:sz w:val="24"/>
                <w:szCs w:val="24"/>
              </w:rPr>
            </w:pPr>
          </w:p>
          <w:p w:rsidR="009652ED" w:rsidRPr="009652ED" w:rsidRDefault="009652ED" w:rsidP="009652ED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9652ED">
              <w:rPr>
                <w:sz w:val="24"/>
                <w:szCs w:val="24"/>
              </w:rPr>
              <w:t>Open discussion</w:t>
            </w:r>
          </w:p>
          <w:p w:rsidR="0059260B" w:rsidRPr="00045C47" w:rsidRDefault="0059260B" w:rsidP="00045C47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</w:tc>
      </w:tr>
      <w:tr w:rsidR="00E41C93" w:rsidRPr="00045C47" w:rsidTr="006B219B">
        <w:tc>
          <w:tcPr>
            <w:tcW w:w="1809" w:type="dxa"/>
            <w:shd w:val="clear" w:color="auto" w:fill="auto"/>
          </w:tcPr>
          <w:p w:rsidR="00E41C93" w:rsidRPr="00045C47" w:rsidRDefault="006A5FB2" w:rsidP="00FC48BB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12:00 – 13:3</w:t>
            </w:r>
            <w:r w:rsidR="00E41C93" w:rsidRPr="00045C47">
              <w:rPr>
                <w:sz w:val="24"/>
                <w:szCs w:val="24"/>
              </w:rPr>
              <w:t>0</w:t>
            </w:r>
          </w:p>
          <w:p w:rsidR="00E41C93" w:rsidRPr="00045C47" w:rsidRDefault="00E41C93" w:rsidP="006B219B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E41C93" w:rsidRPr="00F331AD" w:rsidRDefault="00E41C93" w:rsidP="006B219B">
            <w:pPr>
              <w:jc w:val="left"/>
              <w:rPr>
                <w:iCs/>
                <w:sz w:val="24"/>
                <w:szCs w:val="24"/>
              </w:rPr>
            </w:pPr>
            <w:r w:rsidRPr="00F331AD">
              <w:rPr>
                <w:iCs/>
                <w:sz w:val="24"/>
                <w:szCs w:val="24"/>
              </w:rPr>
              <w:t>Lunch</w:t>
            </w:r>
            <w:r w:rsidR="003B168D">
              <w:rPr>
                <w:iCs/>
                <w:sz w:val="24"/>
                <w:szCs w:val="24"/>
              </w:rPr>
              <w:t xml:space="preserve"> Break</w:t>
            </w:r>
          </w:p>
        </w:tc>
      </w:tr>
      <w:tr w:rsidR="00E41C93" w:rsidRPr="00045C47" w:rsidTr="006B219B">
        <w:tc>
          <w:tcPr>
            <w:tcW w:w="1809" w:type="dxa"/>
            <w:shd w:val="clear" w:color="auto" w:fill="auto"/>
          </w:tcPr>
          <w:p w:rsidR="00E41C93" w:rsidRPr="00045C47" w:rsidRDefault="00E41C93" w:rsidP="006A5FB2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</w:t>
            </w:r>
            <w:r w:rsidR="006A5FB2" w:rsidRPr="00045C47">
              <w:rPr>
                <w:sz w:val="24"/>
                <w:szCs w:val="24"/>
              </w:rPr>
              <w:t>3:30</w:t>
            </w:r>
            <w:r w:rsidRPr="00045C47">
              <w:rPr>
                <w:sz w:val="24"/>
                <w:szCs w:val="24"/>
              </w:rPr>
              <w:t xml:space="preserve"> – </w:t>
            </w:r>
            <w:r w:rsidR="00E13217" w:rsidRPr="00045C47">
              <w:rPr>
                <w:sz w:val="24"/>
                <w:szCs w:val="24"/>
              </w:rPr>
              <w:t>15</w:t>
            </w:r>
            <w:r w:rsidRPr="00045C47">
              <w:rPr>
                <w:sz w:val="24"/>
                <w:szCs w:val="24"/>
              </w:rPr>
              <w:t>:</w:t>
            </w:r>
            <w:r w:rsidR="00E13217" w:rsidRPr="00045C47">
              <w:rPr>
                <w:sz w:val="24"/>
                <w:szCs w:val="24"/>
              </w:rPr>
              <w:t>00</w:t>
            </w:r>
          </w:p>
        </w:tc>
        <w:tc>
          <w:tcPr>
            <w:tcW w:w="7837" w:type="dxa"/>
            <w:shd w:val="clear" w:color="auto" w:fill="auto"/>
          </w:tcPr>
          <w:p w:rsidR="009652ED" w:rsidRDefault="009652ED" w:rsidP="009652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5C47">
              <w:rPr>
                <w:b/>
                <w:bCs/>
                <w:color w:val="000000"/>
                <w:sz w:val="24"/>
                <w:szCs w:val="24"/>
              </w:rPr>
              <w:t>Non-Tariff Measures: (continued)</w:t>
            </w:r>
          </w:p>
          <w:p w:rsidR="009652ED" w:rsidRDefault="009652ED" w:rsidP="009652E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652ED" w:rsidRPr="00045C47" w:rsidRDefault="009652ED" w:rsidP="009652E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Open discussion</w:t>
            </w:r>
          </w:p>
          <w:p w:rsidR="0059260B" w:rsidRPr="009652ED" w:rsidRDefault="0059260B" w:rsidP="009652E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75654" w:rsidRPr="00045C47" w:rsidTr="006B219B">
        <w:tc>
          <w:tcPr>
            <w:tcW w:w="1809" w:type="dxa"/>
            <w:shd w:val="clear" w:color="auto" w:fill="auto"/>
          </w:tcPr>
          <w:p w:rsidR="00D75654" w:rsidRPr="00045C47" w:rsidRDefault="00D75654" w:rsidP="00D75654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15:00 – 15:15    </w:t>
            </w:r>
          </w:p>
        </w:tc>
        <w:tc>
          <w:tcPr>
            <w:tcW w:w="7837" w:type="dxa"/>
            <w:shd w:val="clear" w:color="auto" w:fill="auto"/>
          </w:tcPr>
          <w:p w:rsidR="00D75654" w:rsidRPr="00045C47" w:rsidRDefault="00D75654" w:rsidP="00D75654">
            <w:pPr>
              <w:rPr>
                <w:color w:val="000000"/>
                <w:sz w:val="24"/>
                <w:szCs w:val="24"/>
                <w:u w:val="single"/>
              </w:rPr>
            </w:pPr>
            <w:r w:rsidRPr="00045C47">
              <w:rPr>
                <w:color w:val="000000"/>
                <w:sz w:val="24"/>
                <w:szCs w:val="24"/>
              </w:rPr>
              <w:t>Coffee Break</w:t>
            </w:r>
          </w:p>
        </w:tc>
      </w:tr>
      <w:tr w:rsidR="00D75654" w:rsidRPr="00045C47" w:rsidTr="006B219B">
        <w:tc>
          <w:tcPr>
            <w:tcW w:w="1809" w:type="dxa"/>
            <w:shd w:val="clear" w:color="auto" w:fill="auto"/>
          </w:tcPr>
          <w:p w:rsidR="00D75654" w:rsidRPr="00045C47" w:rsidRDefault="00D75654" w:rsidP="00D75654">
            <w:pPr>
              <w:tabs>
                <w:tab w:val="clear" w:pos="720"/>
              </w:tabs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15:15 – 16:00  </w:t>
            </w:r>
          </w:p>
        </w:tc>
        <w:tc>
          <w:tcPr>
            <w:tcW w:w="7837" w:type="dxa"/>
            <w:shd w:val="clear" w:color="auto" w:fill="auto"/>
          </w:tcPr>
          <w:p w:rsidR="00D75654" w:rsidRPr="00045C47" w:rsidRDefault="009652ED" w:rsidP="009652ED">
            <w:pPr>
              <w:jc w:val="left"/>
              <w:rPr>
                <w:i/>
                <w:iCs/>
              </w:rPr>
            </w:pPr>
            <w:r w:rsidRPr="009652ED">
              <w:rPr>
                <w:b/>
                <w:bCs/>
                <w:color w:val="000000"/>
                <w:sz w:val="24"/>
                <w:szCs w:val="24"/>
              </w:rPr>
              <w:t xml:space="preserve">Discussion of technical assistance needs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in relation to trade policy instruments </w:t>
            </w:r>
            <w:r w:rsidR="00D75654" w:rsidRPr="009652ED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D75654" w:rsidRPr="00045C47" w:rsidTr="00C4376C">
        <w:tc>
          <w:tcPr>
            <w:tcW w:w="9646" w:type="dxa"/>
            <w:gridSpan w:val="2"/>
            <w:shd w:val="pct12" w:color="auto" w:fill="FFFFFF"/>
          </w:tcPr>
          <w:p w:rsidR="003E73D2" w:rsidRDefault="00D75654" w:rsidP="00C437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5C47">
              <w:rPr>
                <w:sz w:val="24"/>
                <w:szCs w:val="24"/>
              </w:rPr>
              <w:br w:type="page"/>
            </w:r>
            <w:r w:rsidRPr="003B168D">
              <w:rPr>
                <w:b/>
                <w:sz w:val="28"/>
                <w:szCs w:val="28"/>
              </w:rPr>
              <w:t xml:space="preserve">Thursday, </w:t>
            </w:r>
            <w:r w:rsidR="009652ED">
              <w:rPr>
                <w:b/>
                <w:sz w:val="28"/>
                <w:szCs w:val="28"/>
              </w:rPr>
              <w:t>20</w:t>
            </w:r>
            <w:r w:rsidR="009652ED" w:rsidRPr="009652ED">
              <w:rPr>
                <w:b/>
                <w:sz w:val="28"/>
                <w:szCs w:val="28"/>
                <w:vertAlign w:val="superscript"/>
              </w:rPr>
              <w:t>th</w:t>
            </w:r>
            <w:r w:rsidR="009652ED">
              <w:rPr>
                <w:b/>
                <w:sz w:val="28"/>
                <w:szCs w:val="28"/>
              </w:rPr>
              <w:t xml:space="preserve"> February</w:t>
            </w:r>
            <w:r w:rsidRPr="003B168D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9652ED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3E73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75654" w:rsidRPr="003B168D" w:rsidRDefault="003E73D2" w:rsidP="00C43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Yangon</w:t>
            </w:r>
          </w:p>
          <w:p w:rsidR="00D75654" w:rsidRPr="00045C47" w:rsidRDefault="00D75654" w:rsidP="00C437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5654" w:rsidRPr="00045C47" w:rsidTr="00045C47">
        <w:trPr>
          <w:trHeight w:val="481"/>
        </w:trPr>
        <w:tc>
          <w:tcPr>
            <w:tcW w:w="1809" w:type="dxa"/>
            <w:shd w:val="clear" w:color="auto" w:fill="auto"/>
          </w:tcPr>
          <w:p w:rsidR="00D75654" w:rsidRPr="00045C47" w:rsidRDefault="00D75654" w:rsidP="00C4376C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09:00 - 1</w:t>
            </w:r>
            <w:r w:rsidR="003E73D2">
              <w:rPr>
                <w:color w:val="000000"/>
                <w:sz w:val="24"/>
                <w:szCs w:val="24"/>
              </w:rPr>
              <w:t>1</w:t>
            </w:r>
            <w:r w:rsidRPr="00045C47">
              <w:rPr>
                <w:color w:val="000000"/>
                <w:sz w:val="24"/>
                <w:szCs w:val="24"/>
              </w:rPr>
              <w:t>:00  </w:t>
            </w:r>
          </w:p>
        </w:tc>
        <w:tc>
          <w:tcPr>
            <w:tcW w:w="7837" w:type="dxa"/>
            <w:shd w:val="clear" w:color="auto" w:fill="auto"/>
          </w:tcPr>
          <w:p w:rsidR="00D75654" w:rsidRDefault="009652ED" w:rsidP="00045C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Meeting with Myanmar Customs</w:t>
            </w:r>
            <w:r w:rsidR="003E73D2">
              <w:rPr>
                <w:b/>
                <w:bCs/>
                <w:color w:val="000000"/>
                <w:sz w:val="24"/>
                <w:szCs w:val="24"/>
              </w:rPr>
              <w:t xml:space="preserve"> and discussion with respect </w:t>
            </w:r>
            <w:proofErr w:type="gramStart"/>
            <w:r w:rsidR="003E73D2">
              <w:rPr>
                <w:b/>
                <w:bCs/>
                <w:color w:val="000000"/>
                <w:sz w:val="24"/>
                <w:szCs w:val="24"/>
              </w:rPr>
              <w:t xml:space="preserve">to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E73D2" w:rsidRPr="009652ED">
              <w:rPr>
                <w:b/>
                <w:bCs/>
                <w:color w:val="000000"/>
                <w:sz w:val="24"/>
                <w:szCs w:val="24"/>
              </w:rPr>
              <w:t>tariffs</w:t>
            </w:r>
            <w:proofErr w:type="gramEnd"/>
            <w:r w:rsidR="003E73D2" w:rsidRPr="009652ED">
              <w:rPr>
                <w:b/>
                <w:bCs/>
                <w:color w:val="000000"/>
                <w:sz w:val="24"/>
                <w:szCs w:val="24"/>
              </w:rPr>
              <w:t xml:space="preserve"> and non-tariff measure</w:t>
            </w:r>
            <w:r w:rsidR="003E73D2">
              <w:rPr>
                <w:b/>
                <w:bCs/>
                <w:color w:val="000000"/>
                <w:sz w:val="24"/>
                <w:szCs w:val="24"/>
              </w:rPr>
              <w:t>s and their application in Myanmar's trade policy regime</w:t>
            </w:r>
          </w:p>
          <w:p w:rsidR="0059260B" w:rsidRDefault="0059260B" w:rsidP="00045C4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9260B" w:rsidRPr="00045C47" w:rsidRDefault="0059260B" w:rsidP="00045C47">
            <w:pPr>
              <w:rPr>
                <w:color w:val="000000"/>
                <w:sz w:val="24"/>
                <w:szCs w:val="24"/>
              </w:rPr>
            </w:pPr>
          </w:p>
        </w:tc>
      </w:tr>
      <w:tr w:rsidR="00D75654" w:rsidRPr="00045C47" w:rsidTr="00C4376C">
        <w:tc>
          <w:tcPr>
            <w:tcW w:w="1809" w:type="dxa"/>
            <w:shd w:val="clear" w:color="auto" w:fill="auto"/>
          </w:tcPr>
          <w:p w:rsidR="00D75654" w:rsidRPr="00045C47" w:rsidRDefault="00D75654" w:rsidP="00C4376C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3E73D2">
              <w:rPr>
                <w:color w:val="000000"/>
                <w:sz w:val="24"/>
                <w:szCs w:val="24"/>
              </w:rPr>
              <w:t>1</w:t>
            </w:r>
            <w:r w:rsidR="003E73D2">
              <w:rPr>
                <w:color w:val="000000"/>
                <w:sz w:val="24"/>
                <w:szCs w:val="24"/>
              </w:rPr>
              <w:t>1</w:t>
            </w:r>
            <w:r w:rsidRPr="003E73D2">
              <w:rPr>
                <w:color w:val="000000"/>
                <w:sz w:val="24"/>
                <w:szCs w:val="24"/>
              </w:rPr>
              <w:t>:00 – 1</w:t>
            </w:r>
            <w:r w:rsidR="003E73D2">
              <w:rPr>
                <w:color w:val="000000"/>
                <w:sz w:val="24"/>
                <w:szCs w:val="24"/>
              </w:rPr>
              <w:t>2</w:t>
            </w:r>
            <w:r w:rsidRPr="003E73D2">
              <w:rPr>
                <w:color w:val="000000"/>
                <w:sz w:val="24"/>
                <w:szCs w:val="24"/>
              </w:rPr>
              <w:t>:15</w:t>
            </w:r>
            <w:r w:rsidRPr="00045C4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7837" w:type="dxa"/>
            <w:shd w:val="clear" w:color="auto" w:fill="auto"/>
          </w:tcPr>
          <w:p w:rsidR="00D75654" w:rsidRPr="00045C47" w:rsidRDefault="003E73D2" w:rsidP="00C437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with </w:t>
            </w:r>
            <w:r w:rsidRPr="003E73D2">
              <w:rPr>
                <w:sz w:val="24"/>
                <w:szCs w:val="24"/>
              </w:rPr>
              <w:t>UMFCCI</w:t>
            </w:r>
            <w:r>
              <w:rPr>
                <w:sz w:val="24"/>
                <w:szCs w:val="24"/>
              </w:rPr>
              <w:t xml:space="preserve"> regarding their experience with various trade policy instruments and what issues in this regard does the privates sector face</w:t>
            </w:r>
          </w:p>
        </w:tc>
      </w:tr>
      <w:tr w:rsidR="00D75654" w:rsidRPr="00045C47" w:rsidTr="00C4376C">
        <w:tc>
          <w:tcPr>
            <w:tcW w:w="1809" w:type="dxa"/>
            <w:shd w:val="clear" w:color="auto" w:fill="auto"/>
          </w:tcPr>
          <w:p w:rsidR="00D75654" w:rsidRPr="00045C47" w:rsidRDefault="00D75654" w:rsidP="00C4376C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sz w:val="24"/>
                <w:szCs w:val="24"/>
              </w:rPr>
              <w:t>12:</w:t>
            </w:r>
            <w:r w:rsidR="003E73D2">
              <w:rPr>
                <w:sz w:val="24"/>
                <w:szCs w:val="24"/>
              </w:rPr>
              <w:t>15</w:t>
            </w:r>
            <w:r w:rsidRPr="00045C47">
              <w:rPr>
                <w:sz w:val="24"/>
                <w:szCs w:val="24"/>
              </w:rPr>
              <w:t xml:space="preserve"> – 1</w:t>
            </w:r>
            <w:r w:rsidR="003E73D2">
              <w:rPr>
                <w:sz w:val="24"/>
                <w:szCs w:val="24"/>
              </w:rPr>
              <w:t>4</w:t>
            </w:r>
            <w:r w:rsidRPr="00045C47">
              <w:rPr>
                <w:sz w:val="24"/>
                <w:szCs w:val="24"/>
              </w:rPr>
              <w:t>:</w:t>
            </w:r>
            <w:r w:rsidR="003E73D2">
              <w:rPr>
                <w:sz w:val="24"/>
                <w:szCs w:val="24"/>
              </w:rPr>
              <w:t>00</w:t>
            </w:r>
          </w:p>
          <w:p w:rsidR="00D75654" w:rsidRPr="00045C47" w:rsidRDefault="00D75654" w:rsidP="00C4376C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auto"/>
          </w:tcPr>
          <w:p w:rsidR="00D75654" w:rsidRPr="00045C47" w:rsidRDefault="00D75654" w:rsidP="00C4376C">
            <w:pPr>
              <w:jc w:val="left"/>
              <w:rPr>
                <w:iCs/>
                <w:sz w:val="24"/>
                <w:szCs w:val="24"/>
              </w:rPr>
            </w:pPr>
            <w:r w:rsidRPr="00045C47">
              <w:rPr>
                <w:iCs/>
                <w:sz w:val="24"/>
                <w:szCs w:val="24"/>
              </w:rPr>
              <w:t>Lunch</w:t>
            </w:r>
            <w:r w:rsidR="003B168D">
              <w:rPr>
                <w:iCs/>
                <w:sz w:val="24"/>
                <w:szCs w:val="24"/>
              </w:rPr>
              <w:t xml:space="preserve"> Break</w:t>
            </w:r>
          </w:p>
        </w:tc>
      </w:tr>
      <w:tr w:rsidR="00D75654" w:rsidRPr="00045C47" w:rsidTr="00C4376C">
        <w:tc>
          <w:tcPr>
            <w:tcW w:w="1809" w:type="dxa"/>
            <w:shd w:val="clear" w:color="auto" w:fill="auto"/>
          </w:tcPr>
          <w:p w:rsidR="00D75654" w:rsidRPr="00045C47" w:rsidRDefault="00D75654" w:rsidP="00C4376C">
            <w:pPr>
              <w:tabs>
                <w:tab w:val="clear" w:pos="720"/>
              </w:tabs>
              <w:jc w:val="left"/>
              <w:rPr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lastRenderedPageBreak/>
              <w:t>1</w:t>
            </w:r>
            <w:r w:rsidR="003E73D2">
              <w:rPr>
                <w:color w:val="000000"/>
                <w:sz w:val="24"/>
                <w:szCs w:val="24"/>
              </w:rPr>
              <w:t>4</w:t>
            </w:r>
            <w:r w:rsidRPr="00045C47">
              <w:rPr>
                <w:color w:val="000000"/>
                <w:sz w:val="24"/>
                <w:szCs w:val="24"/>
              </w:rPr>
              <w:t>:</w:t>
            </w:r>
            <w:r w:rsidR="003E73D2">
              <w:rPr>
                <w:color w:val="000000"/>
                <w:sz w:val="24"/>
                <w:szCs w:val="24"/>
              </w:rPr>
              <w:t>00</w:t>
            </w:r>
            <w:r w:rsidRPr="00045C47">
              <w:rPr>
                <w:color w:val="000000"/>
                <w:sz w:val="24"/>
                <w:szCs w:val="24"/>
              </w:rPr>
              <w:t xml:space="preserve"> – 1</w:t>
            </w:r>
            <w:r w:rsidR="003E73D2">
              <w:rPr>
                <w:color w:val="000000"/>
                <w:sz w:val="24"/>
                <w:szCs w:val="24"/>
              </w:rPr>
              <w:t>5</w:t>
            </w:r>
            <w:r w:rsidRPr="00045C47">
              <w:rPr>
                <w:color w:val="000000"/>
                <w:sz w:val="24"/>
                <w:szCs w:val="24"/>
              </w:rPr>
              <w:t>:</w:t>
            </w:r>
            <w:r w:rsidR="003E73D2">
              <w:rPr>
                <w:color w:val="000000"/>
                <w:sz w:val="24"/>
                <w:szCs w:val="24"/>
              </w:rPr>
              <w:t>00</w:t>
            </w:r>
            <w:r w:rsidRPr="00045C47">
              <w:rPr>
                <w:color w:val="000000"/>
                <w:sz w:val="24"/>
                <w:szCs w:val="24"/>
              </w:rPr>
              <w:t xml:space="preserve">   </w:t>
            </w:r>
            <w:r w:rsidRPr="00045C4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7" w:type="dxa"/>
            <w:shd w:val="clear" w:color="auto" w:fill="auto"/>
          </w:tcPr>
          <w:p w:rsidR="00045C47" w:rsidRPr="003E73D2" w:rsidRDefault="00045C47" w:rsidP="00045C47">
            <w:pPr>
              <w:pStyle w:val="ListParagraph"/>
              <w:ind w:left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5C4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Conclusion: </w:t>
            </w:r>
          </w:p>
          <w:p w:rsidR="00D75654" w:rsidRDefault="00045C47" w:rsidP="00045C47">
            <w:pPr>
              <w:pStyle w:val="ListParagraph"/>
              <w:ind w:left="0"/>
              <w:rPr>
                <w:color w:val="000000"/>
                <w:sz w:val="24"/>
                <w:szCs w:val="24"/>
                <w:lang w:val="en-US"/>
              </w:rPr>
            </w:pPr>
            <w:r w:rsidRPr="00045C47">
              <w:rPr>
                <w:color w:val="000000"/>
                <w:sz w:val="24"/>
                <w:szCs w:val="24"/>
                <w:lang w:val="en-US"/>
              </w:rPr>
              <w:t>The Trade Policy Review as a framework for analyzing and assessing trade policy instruments.</w:t>
            </w:r>
          </w:p>
          <w:p w:rsidR="00D75015" w:rsidRDefault="00D75015" w:rsidP="00045C47">
            <w:pPr>
              <w:pStyle w:val="ListParagraph"/>
              <w:ind w:left="0"/>
              <w:rPr>
                <w:color w:val="000000"/>
                <w:sz w:val="24"/>
                <w:szCs w:val="24"/>
                <w:lang w:val="en-US"/>
              </w:rPr>
            </w:pPr>
          </w:p>
          <w:p w:rsidR="00D75015" w:rsidRPr="00045C47" w:rsidRDefault="00D75015" w:rsidP="00D75015">
            <w:pPr>
              <w:rPr>
                <w:color w:val="000000"/>
                <w:sz w:val="24"/>
                <w:szCs w:val="24"/>
              </w:rPr>
            </w:pPr>
            <w:r w:rsidRPr="00045C47">
              <w:rPr>
                <w:color w:val="000000"/>
                <w:sz w:val="24"/>
                <w:szCs w:val="24"/>
              </w:rPr>
              <w:t>Questions and Answers</w:t>
            </w:r>
          </w:p>
          <w:p w:rsidR="00D75015" w:rsidRPr="00045C47" w:rsidRDefault="00D75015" w:rsidP="00045C47">
            <w:pPr>
              <w:pStyle w:val="ListParagraph"/>
              <w:ind w:left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9260B" w:rsidRPr="00045C47" w:rsidRDefault="0059260B" w:rsidP="00045C47">
      <w:pPr>
        <w:rPr>
          <w:b/>
          <w:bCs/>
          <w:sz w:val="24"/>
          <w:szCs w:val="24"/>
        </w:rPr>
      </w:pPr>
    </w:p>
    <w:sectPr w:rsidR="0059260B" w:rsidRPr="00045C47" w:rsidSect="006C4C72">
      <w:headerReference w:type="default" r:id="rId7"/>
      <w:pgSz w:w="11906" w:h="16838" w:code="9"/>
      <w:pgMar w:top="720" w:right="1440" w:bottom="1440" w:left="1440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7E" w:rsidRDefault="00D43C7E" w:rsidP="00B3641E">
      <w:r>
        <w:separator/>
      </w:r>
    </w:p>
  </w:endnote>
  <w:endnote w:type="continuationSeparator" w:id="0">
    <w:p w:rsidR="00D43C7E" w:rsidRDefault="00D43C7E" w:rsidP="00B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7E" w:rsidRDefault="00D43C7E" w:rsidP="00B3641E">
      <w:r>
        <w:separator/>
      </w:r>
    </w:p>
  </w:footnote>
  <w:footnote w:type="continuationSeparator" w:id="0">
    <w:p w:rsidR="00D43C7E" w:rsidRDefault="00D43C7E" w:rsidP="00B3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1E" w:rsidRPr="00B3641E" w:rsidRDefault="00B3641E" w:rsidP="00B3641E">
    <w:pPr>
      <w:pStyle w:val="Header"/>
      <w:jc w:val="center"/>
      <w:rPr>
        <w:color w:val="C00000"/>
      </w:rPr>
    </w:pPr>
  </w:p>
  <w:p w:rsidR="00B3641E" w:rsidRPr="00B3641E" w:rsidRDefault="00B36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.6pt;height:70.8pt" o:bullet="t">
        <v:imagedata r:id="rId1" o:title="greenlogo"/>
      </v:shape>
    </w:pict>
  </w:numPicBullet>
  <w:abstractNum w:abstractNumId="0" w15:restartNumberingAfterBreak="0">
    <w:nsid w:val="1C0C1E11"/>
    <w:multiLevelType w:val="hybridMultilevel"/>
    <w:tmpl w:val="9FF4C8C4"/>
    <w:lvl w:ilvl="0" w:tplc="9BB86336">
      <w:start w:val="4"/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D58"/>
    <w:multiLevelType w:val="hybridMultilevel"/>
    <w:tmpl w:val="0F68831A"/>
    <w:lvl w:ilvl="0" w:tplc="43102F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3B502480"/>
    <w:multiLevelType w:val="hybridMultilevel"/>
    <w:tmpl w:val="60F4EC20"/>
    <w:lvl w:ilvl="0" w:tplc="43102F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412B"/>
    <w:multiLevelType w:val="hybridMultilevel"/>
    <w:tmpl w:val="6830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3A50"/>
    <w:multiLevelType w:val="hybridMultilevel"/>
    <w:tmpl w:val="FC32B2D0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0250"/>
    <w:multiLevelType w:val="hybridMultilevel"/>
    <w:tmpl w:val="695C4676"/>
    <w:lvl w:ilvl="0" w:tplc="F0CEB640">
      <w:start w:val="30"/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F3"/>
    <w:rsid w:val="00022130"/>
    <w:rsid w:val="00045C47"/>
    <w:rsid w:val="00077F00"/>
    <w:rsid w:val="00120A71"/>
    <w:rsid w:val="00125367"/>
    <w:rsid w:val="0014371D"/>
    <w:rsid w:val="00156404"/>
    <w:rsid w:val="00166D0F"/>
    <w:rsid w:val="001B242E"/>
    <w:rsid w:val="001C4E5B"/>
    <w:rsid w:val="001D4EA2"/>
    <w:rsid w:val="002209CF"/>
    <w:rsid w:val="0026603C"/>
    <w:rsid w:val="0027477D"/>
    <w:rsid w:val="002C09D2"/>
    <w:rsid w:val="002C0FA7"/>
    <w:rsid w:val="002E5D86"/>
    <w:rsid w:val="00304A10"/>
    <w:rsid w:val="0030554A"/>
    <w:rsid w:val="003255B5"/>
    <w:rsid w:val="00333D52"/>
    <w:rsid w:val="00337BFB"/>
    <w:rsid w:val="00344411"/>
    <w:rsid w:val="0035589B"/>
    <w:rsid w:val="00382DE9"/>
    <w:rsid w:val="003A6587"/>
    <w:rsid w:val="003A77A0"/>
    <w:rsid w:val="003B168D"/>
    <w:rsid w:val="003E73D2"/>
    <w:rsid w:val="003F4D43"/>
    <w:rsid w:val="00407D90"/>
    <w:rsid w:val="00433806"/>
    <w:rsid w:val="00441D40"/>
    <w:rsid w:val="00446E6D"/>
    <w:rsid w:val="004537B2"/>
    <w:rsid w:val="00466B1F"/>
    <w:rsid w:val="004D08EE"/>
    <w:rsid w:val="004D630B"/>
    <w:rsid w:val="004F5E66"/>
    <w:rsid w:val="004F6DFB"/>
    <w:rsid w:val="005074A6"/>
    <w:rsid w:val="00546B72"/>
    <w:rsid w:val="00570D9B"/>
    <w:rsid w:val="00573828"/>
    <w:rsid w:val="00590417"/>
    <w:rsid w:val="0059260B"/>
    <w:rsid w:val="005E0C23"/>
    <w:rsid w:val="005E0F9B"/>
    <w:rsid w:val="00603F33"/>
    <w:rsid w:val="0063767D"/>
    <w:rsid w:val="0064021C"/>
    <w:rsid w:val="00655665"/>
    <w:rsid w:val="00657D19"/>
    <w:rsid w:val="0067004C"/>
    <w:rsid w:val="00692FCD"/>
    <w:rsid w:val="006A5FB2"/>
    <w:rsid w:val="006C35DD"/>
    <w:rsid w:val="006C4C72"/>
    <w:rsid w:val="006F60C6"/>
    <w:rsid w:val="00700E0F"/>
    <w:rsid w:val="0073494B"/>
    <w:rsid w:val="007977F5"/>
    <w:rsid w:val="007A1BF4"/>
    <w:rsid w:val="007A30CF"/>
    <w:rsid w:val="007C2F2F"/>
    <w:rsid w:val="00833D1D"/>
    <w:rsid w:val="00847042"/>
    <w:rsid w:val="00856C76"/>
    <w:rsid w:val="00873BC7"/>
    <w:rsid w:val="0092194C"/>
    <w:rsid w:val="00940342"/>
    <w:rsid w:val="00954F32"/>
    <w:rsid w:val="00960172"/>
    <w:rsid w:val="009613A6"/>
    <w:rsid w:val="009652ED"/>
    <w:rsid w:val="00966935"/>
    <w:rsid w:val="00971E65"/>
    <w:rsid w:val="00977D41"/>
    <w:rsid w:val="009A54E4"/>
    <w:rsid w:val="009C44D5"/>
    <w:rsid w:val="009C6641"/>
    <w:rsid w:val="009D58AD"/>
    <w:rsid w:val="009D62A2"/>
    <w:rsid w:val="009E4D95"/>
    <w:rsid w:val="00A17014"/>
    <w:rsid w:val="00A46646"/>
    <w:rsid w:val="00A56E7C"/>
    <w:rsid w:val="00A61DD8"/>
    <w:rsid w:val="00A80CF3"/>
    <w:rsid w:val="00A9141A"/>
    <w:rsid w:val="00A93FEA"/>
    <w:rsid w:val="00AD39B7"/>
    <w:rsid w:val="00B07F06"/>
    <w:rsid w:val="00B140DD"/>
    <w:rsid w:val="00B26345"/>
    <w:rsid w:val="00B3641E"/>
    <w:rsid w:val="00B61499"/>
    <w:rsid w:val="00B638A5"/>
    <w:rsid w:val="00BA06D2"/>
    <w:rsid w:val="00BA27D8"/>
    <w:rsid w:val="00BB67BF"/>
    <w:rsid w:val="00BD4F74"/>
    <w:rsid w:val="00C0620E"/>
    <w:rsid w:val="00C510B9"/>
    <w:rsid w:val="00C53610"/>
    <w:rsid w:val="00C5589F"/>
    <w:rsid w:val="00C6097A"/>
    <w:rsid w:val="00C6501F"/>
    <w:rsid w:val="00C77C4A"/>
    <w:rsid w:val="00CA71E4"/>
    <w:rsid w:val="00CE5C85"/>
    <w:rsid w:val="00D23DE6"/>
    <w:rsid w:val="00D246E9"/>
    <w:rsid w:val="00D319C0"/>
    <w:rsid w:val="00D32837"/>
    <w:rsid w:val="00D41817"/>
    <w:rsid w:val="00D42A8E"/>
    <w:rsid w:val="00D43C7E"/>
    <w:rsid w:val="00D61893"/>
    <w:rsid w:val="00D75015"/>
    <w:rsid w:val="00D75654"/>
    <w:rsid w:val="00E13217"/>
    <w:rsid w:val="00E148A6"/>
    <w:rsid w:val="00E3297C"/>
    <w:rsid w:val="00E41C93"/>
    <w:rsid w:val="00E74BE3"/>
    <w:rsid w:val="00E82797"/>
    <w:rsid w:val="00EB3923"/>
    <w:rsid w:val="00EC4F15"/>
    <w:rsid w:val="00ED7713"/>
    <w:rsid w:val="00EF20BF"/>
    <w:rsid w:val="00F005AE"/>
    <w:rsid w:val="00F2069E"/>
    <w:rsid w:val="00F331AD"/>
    <w:rsid w:val="00F723E6"/>
    <w:rsid w:val="00F8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0BFB"/>
  <w15:docId w15:val="{C1561564-8882-467B-B361-1DC3799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CF3"/>
    <w:pPr>
      <w:tabs>
        <w:tab w:val="left" w:pos="720"/>
      </w:tabs>
      <w:jc w:val="both"/>
    </w:pPr>
    <w:rPr>
      <w:rFonts w:eastAsia="Batang"/>
      <w:sz w:val="22"/>
      <w:lang w:eastAsia="ko-K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2194C"/>
    <w:pPr>
      <w:keepNext/>
      <w:keepLines/>
      <w:numPr>
        <w:numId w:val="9"/>
      </w:numPr>
      <w:spacing w:after="240"/>
      <w:outlineLvl w:val="0"/>
    </w:pPr>
    <w:rPr>
      <w:rFonts w:eastAsia="Calibri"/>
      <w:b/>
      <w:caps/>
      <w:kern w:val="32"/>
      <w:sz w:val="20"/>
      <w:lang w:val="x-none" w:eastAsia="x-none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194C"/>
    <w:pPr>
      <w:keepNext/>
      <w:keepLines/>
      <w:numPr>
        <w:ilvl w:val="1"/>
        <w:numId w:val="9"/>
      </w:numPr>
      <w:spacing w:after="240"/>
      <w:outlineLvl w:val="1"/>
    </w:pPr>
    <w:rPr>
      <w:rFonts w:eastAsia="Calibri"/>
      <w:smallCaps/>
      <w:sz w:val="20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194C"/>
    <w:pPr>
      <w:keepNext/>
      <w:keepLines/>
      <w:numPr>
        <w:ilvl w:val="2"/>
        <w:numId w:val="9"/>
      </w:numPr>
      <w:spacing w:after="240"/>
      <w:outlineLvl w:val="2"/>
    </w:pPr>
    <w:rPr>
      <w:rFonts w:eastAsia="Calibri"/>
      <w:b/>
      <w:sz w:val="20"/>
      <w:lang w:val="x-none" w:eastAsia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194C"/>
    <w:pPr>
      <w:keepNext/>
      <w:keepLines/>
      <w:numPr>
        <w:ilvl w:val="3"/>
        <w:numId w:val="9"/>
      </w:numPr>
      <w:spacing w:after="240"/>
      <w:outlineLvl w:val="3"/>
    </w:pPr>
    <w:rPr>
      <w:rFonts w:eastAsia="Calibri"/>
      <w:sz w:val="20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2"/>
    <w:qFormat/>
    <w:rsid w:val="0092194C"/>
    <w:pPr>
      <w:keepNext/>
      <w:keepLines/>
      <w:numPr>
        <w:ilvl w:val="4"/>
        <w:numId w:val="9"/>
      </w:numPr>
      <w:spacing w:after="240"/>
      <w:outlineLvl w:val="4"/>
    </w:pPr>
    <w:rPr>
      <w:rFonts w:eastAsia="Calibri"/>
      <w:i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  <w:rPr>
      <w:rFonts w:eastAsia="Calibri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  <w:rPr>
      <w:rFonts w:eastAsia="Calibri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rFonts w:eastAsia="Times New Roman"/>
      <w:color w:val="404040"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rFonts w:eastAsia="Times New Roman"/>
      <w:iCs/>
      <w:color w:val="404040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9"/>
      </w:numPr>
      <w:spacing w:after="240"/>
    </w:pPr>
    <w:rPr>
      <w:rFonts w:eastAsia="Calibri"/>
      <w:sz w:val="20"/>
      <w:lang w:val="x-none" w:eastAsia="x-none"/>
    </w:rPr>
  </w:style>
  <w:style w:type="character" w:customStyle="1" w:styleId="BodyTextChar">
    <w:name w:val="Body Text Char"/>
    <w:link w:val="BodyText"/>
    <w:rsid w:val="0092194C"/>
    <w:rPr>
      <w:rFonts w:eastAsia="Calibri" w:cs="Times New Roman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9"/>
      </w:numPr>
      <w:tabs>
        <w:tab w:val="clear" w:pos="720"/>
      </w:tabs>
      <w:spacing w:after="240"/>
    </w:pPr>
    <w:rPr>
      <w:rFonts w:eastAsia="Calibri"/>
      <w:sz w:val="20"/>
      <w:lang w:val="x-none" w:eastAsia="x-none"/>
    </w:rPr>
  </w:style>
  <w:style w:type="character" w:customStyle="1" w:styleId="BodyText2Char">
    <w:name w:val="Body Text 2 Char"/>
    <w:link w:val="BodyText2"/>
    <w:rsid w:val="0092194C"/>
    <w:rPr>
      <w:rFonts w:eastAsia="Calibri" w:cs="Times New Roman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9"/>
      </w:numPr>
      <w:tabs>
        <w:tab w:val="clear" w:pos="720"/>
      </w:tabs>
      <w:spacing w:after="240"/>
    </w:pPr>
    <w:rPr>
      <w:rFonts w:eastAsia="Calibri"/>
      <w:sz w:val="20"/>
      <w:lang w:val="x-none" w:eastAsia="x-none"/>
    </w:rPr>
  </w:style>
  <w:style w:type="character" w:customStyle="1" w:styleId="BodyText3Char">
    <w:name w:val="Body Text 3 Char"/>
    <w:link w:val="BodyText3"/>
    <w:rsid w:val="0092194C"/>
    <w:rPr>
      <w:rFonts w:eastAsia="Calibri" w:cs="Times New Roman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9"/>
      </w:numPr>
      <w:tabs>
        <w:tab w:val="clear" w:pos="720"/>
      </w:tabs>
      <w:spacing w:after="240"/>
    </w:pPr>
    <w:rPr>
      <w:rFonts w:eastAsia="Calibri"/>
      <w:sz w:val="20"/>
      <w:lang w:val="x-none" w:eastAsia="x-none"/>
    </w:rPr>
  </w:style>
  <w:style w:type="character" w:customStyle="1" w:styleId="BodyText4Char">
    <w:name w:val="Body Text 4 Char"/>
    <w:link w:val="BodyText4"/>
    <w:rsid w:val="0092194C"/>
    <w:rPr>
      <w:rFonts w:eastAsia="Calibri" w:cs="Times New Roman"/>
    </w:rPr>
  </w:style>
  <w:style w:type="paragraph" w:styleId="Footer">
    <w:name w:val="footer"/>
    <w:basedOn w:val="Normal"/>
    <w:link w:val="FooterChar"/>
    <w:uiPriority w:val="1"/>
    <w:rsid w:val="0092194C"/>
    <w:pPr>
      <w:tabs>
        <w:tab w:val="center" w:pos="4513"/>
        <w:tab w:val="right" w:pos="9027"/>
      </w:tabs>
    </w:pPr>
    <w:rPr>
      <w:rFonts w:eastAsia="Calibri"/>
      <w:sz w:val="20"/>
      <w:lang w:val="x-none" w:eastAsia="x-none"/>
    </w:rPr>
  </w:style>
  <w:style w:type="character" w:customStyle="1" w:styleId="FooterChar">
    <w:name w:val="Footer Char"/>
    <w:link w:val="Footer"/>
    <w:uiPriority w:val="1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rFonts w:eastAsia="Calibri"/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2"/>
    <w:rsid w:val="0092194C"/>
    <w:pPr>
      <w:tabs>
        <w:tab w:val="center" w:pos="4513"/>
        <w:tab w:val="right" w:pos="9027"/>
      </w:tabs>
      <w:jc w:val="left"/>
    </w:pPr>
    <w:rPr>
      <w:rFonts w:eastAsia="Calibri"/>
      <w:sz w:val="20"/>
      <w:lang w:val="x-none" w:eastAsia="x-none"/>
    </w:r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uiPriority w:val="2"/>
    <w:rsid w:val="0092194C"/>
    <w:rPr>
      <w:rFonts w:eastAsia="Calibri" w:cs="Times New Roman"/>
      <w:b/>
      <w:caps/>
      <w:kern w:val="32"/>
    </w:rPr>
  </w:style>
  <w:style w:type="character" w:customStyle="1" w:styleId="Heading2Char">
    <w:name w:val="Heading 2 Char"/>
    <w:link w:val="Heading2"/>
    <w:uiPriority w:val="2"/>
    <w:rsid w:val="0092194C"/>
    <w:rPr>
      <w:rFonts w:eastAsia="Calibri" w:cs="Times New Roman"/>
      <w:smallCaps/>
    </w:rPr>
  </w:style>
  <w:style w:type="character" w:customStyle="1" w:styleId="Heading3Char">
    <w:name w:val="Heading 3 Char"/>
    <w:link w:val="Heading3"/>
    <w:uiPriority w:val="2"/>
    <w:rsid w:val="0092194C"/>
    <w:rPr>
      <w:rFonts w:eastAsia="Calibri" w:cs="Times New Roman"/>
      <w:b/>
    </w:rPr>
  </w:style>
  <w:style w:type="character" w:customStyle="1" w:styleId="Heading4Char">
    <w:name w:val="Heading 4 Char"/>
    <w:link w:val="Heading4"/>
    <w:uiPriority w:val="2"/>
    <w:rsid w:val="0092194C"/>
    <w:rPr>
      <w:rFonts w:eastAsia="Calibri" w:cs="Times New Roman"/>
    </w:rPr>
  </w:style>
  <w:style w:type="character" w:customStyle="1" w:styleId="Heading5Char">
    <w:name w:val="Heading 5 Char"/>
    <w:link w:val="Heading5"/>
    <w:uiPriority w:val="2"/>
    <w:rsid w:val="0092194C"/>
    <w:rPr>
      <w:rFonts w:eastAsia="Calibri" w:cs="Times New Roman"/>
      <w:i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  <w:rPr>
      <w:rFonts w:eastAsia="Calibri"/>
      <w:sz w:val="20"/>
      <w:lang w:val="x-none" w:eastAsia="x-none"/>
    </w:r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uiPriority w:val="5"/>
    <w:qFormat/>
    <w:rsid w:val="0092194C"/>
    <w:pPr>
      <w:jc w:val="center"/>
    </w:pPr>
    <w:rPr>
      <w:rFonts w:eastAsia="Calibri"/>
      <w:b/>
      <w:caps/>
      <w:kern w:val="28"/>
      <w:sz w:val="20"/>
      <w:lang w:val="x-none" w:eastAsia="x-none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ListParagraph">
    <w:name w:val="List Paragraph"/>
    <w:basedOn w:val="Normal"/>
    <w:uiPriority w:val="34"/>
    <w:unhideWhenUsed/>
    <w:qFormat/>
    <w:rsid w:val="00A80CF3"/>
    <w:pPr>
      <w:ind w:left="720"/>
    </w:pPr>
  </w:style>
  <w:style w:type="paragraph" w:styleId="ListBullet2">
    <w:name w:val="List Bullet 2"/>
    <w:basedOn w:val="Normal"/>
    <w:semiHidden/>
    <w:rsid w:val="00A80CF3"/>
  </w:style>
  <w:style w:type="character" w:styleId="Hyperlink">
    <w:name w:val="Hyperlink"/>
    <w:uiPriority w:val="99"/>
    <w:unhideWhenUsed/>
    <w:rsid w:val="002747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7BF"/>
    <w:rPr>
      <w:rFonts w:ascii="Tahoma" w:eastAsia="Batang" w:hAnsi="Tahoma" w:cs="Tahoma"/>
      <w:sz w:val="16"/>
      <w:szCs w:val="16"/>
      <w:lang w:eastAsia="ko-KR"/>
    </w:rPr>
  </w:style>
  <w:style w:type="paragraph" w:customStyle="1" w:styleId="yiv1459722436msonormal">
    <w:name w:val="yiv1459722436msonormal"/>
    <w:basedOn w:val="Normal"/>
    <w:rsid w:val="00C510B9"/>
    <w:pPr>
      <w:tabs>
        <w:tab w:val="clear" w:pos="720"/>
      </w:tabs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  <w:lang w:val="en-US" w:eastAsia="zh-CN" w:bidi="th-TH"/>
    </w:rPr>
  </w:style>
  <w:style w:type="character" w:customStyle="1" w:styleId="yui372471389752472172162">
    <w:name w:val="yui_3_7_2_47_1389752472172_162"/>
    <w:basedOn w:val="DefaultParagraphFont"/>
    <w:rsid w:val="00C510B9"/>
  </w:style>
  <w:style w:type="character" w:customStyle="1" w:styleId="yui372471389752472172164">
    <w:name w:val="yui_3_7_2_47_1389752472172_164"/>
    <w:basedOn w:val="DefaultParagraphFont"/>
    <w:rsid w:val="00C510B9"/>
  </w:style>
  <w:style w:type="character" w:customStyle="1" w:styleId="yui372471389752472172166">
    <w:name w:val="yui_3_7_2_47_1389752472172_166"/>
    <w:basedOn w:val="DefaultParagraphFont"/>
    <w:rsid w:val="00C510B9"/>
  </w:style>
  <w:style w:type="character" w:customStyle="1" w:styleId="st">
    <w:name w:val="st"/>
    <w:basedOn w:val="DefaultParagraphFont"/>
    <w:rsid w:val="00466B1F"/>
  </w:style>
  <w:style w:type="character" w:styleId="Emphasis">
    <w:name w:val="Emphasis"/>
    <w:basedOn w:val="DefaultParagraphFont"/>
    <w:uiPriority w:val="20"/>
    <w:qFormat/>
    <w:rsid w:val="00466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2912</CharactersWithSpaces>
  <SharedDoc>false</SharedDoc>
  <HLinks>
    <vt:vector size="6" baseType="variant"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mailto:erik.wijkstrom@wto.org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Luanga Mukela Faustin</dc:creator>
  <cp:lastModifiedBy>Khilji, Usman Ali</cp:lastModifiedBy>
  <cp:revision>3</cp:revision>
  <cp:lastPrinted>2020-01-16T11:53:00Z</cp:lastPrinted>
  <dcterms:created xsi:type="dcterms:W3CDTF">2020-01-16T14:28:00Z</dcterms:created>
  <dcterms:modified xsi:type="dcterms:W3CDTF">2020-01-20T10:18:00Z</dcterms:modified>
</cp:coreProperties>
</file>