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615D" w14:textId="4190DA58" w:rsidR="00FE4BA2" w:rsidRDefault="00FE4BA2" w:rsidP="00E21DEF">
      <w:pPr>
        <w:pStyle w:val="Title"/>
        <w:rPr>
          <w:lang w:val="fr-CH"/>
        </w:rPr>
      </w:pPr>
      <w:r w:rsidRPr="00D5779C">
        <w:rPr>
          <w:szCs w:val="18"/>
          <w:lang w:val="fr-CH"/>
        </w:rPr>
        <w:t xml:space="preserve">ATELIER REGIONAL </w:t>
      </w:r>
      <w:r w:rsidR="006767E6">
        <w:rPr>
          <w:szCs w:val="18"/>
          <w:lang w:val="fr-CH"/>
        </w:rPr>
        <w:t>pour le maroc</w:t>
      </w:r>
      <w:r w:rsidR="00AC0806">
        <w:rPr>
          <w:szCs w:val="18"/>
          <w:lang w:val="fr-CH"/>
        </w:rPr>
        <w:t xml:space="preserve"> sur le </w:t>
      </w:r>
      <w:r w:rsidRPr="00D5779C">
        <w:rPr>
          <w:szCs w:val="18"/>
          <w:lang w:val="fr-CH"/>
        </w:rPr>
        <w:t xml:space="preserve">COMMERCE DES SERVICES ET </w:t>
      </w:r>
      <w:r w:rsidR="00AC0806">
        <w:rPr>
          <w:szCs w:val="18"/>
          <w:lang w:val="fr-CH"/>
        </w:rPr>
        <w:t xml:space="preserve">la </w:t>
      </w:r>
      <w:r w:rsidRPr="00D5779C">
        <w:rPr>
          <w:szCs w:val="18"/>
          <w:lang w:val="fr-CH"/>
        </w:rPr>
        <w:t>R</w:t>
      </w:r>
      <w:r w:rsidRPr="00D5779C">
        <w:rPr>
          <w:rFonts w:cs="Calibri"/>
          <w:szCs w:val="18"/>
          <w:lang w:val="fr-CH"/>
        </w:rPr>
        <w:t>É</w:t>
      </w:r>
      <w:r w:rsidRPr="00D5779C">
        <w:rPr>
          <w:szCs w:val="18"/>
          <w:lang w:val="fr-CH"/>
        </w:rPr>
        <w:t>GLEMENTATION INT</w:t>
      </w:r>
      <w:r w:rsidRPr="00D5779C">
        <w:rPr>
          <w:rFonts w:cs="Calibri"/>
          <w:szCs w:val="18"/>
          <w:lang w:val="fr-CH"/>
        </w:rPr>
        <w:t>É</w:t>
      </w:r>
      <w:r w:rsidRPr="00D5779C">
        <w:rPr>
          <w:szCs w:val="18"/>
          <w:lang w:val="fr-CH"/>
        </w:rPr>
        <w:t xml:space="preserve">RIEURE </w:t>
      </w:r>
      <w:r w:rsidR="00E21DEF">
        <w:rPr>
          <w:szCs w:val="18"/>
          <w:lang w:val="fr-CH"/>
        </w:rPr>
        <w:t xml:space="preserve">– </w:t>
      </w:r>
      <w:r w:rsidRPr="00D5779C">
        <w:rPr>
          <w:lang w:val="fr-CH"/>
        </w:rPr>
        <w:t>Programme</w:t>
      </w:r>
      <w:r w:rsidR="00E21DEF">
        <w:rPr>
          <w:lang w:val="fr-CH"/>
        </w:rPr>
        <w:t xml:space="preserve"> </w:t>
      </w:r>
    </w:p>
    <w:p w14:paraId="5B635294" w14:textId="77777777" w:rsidR="009648AD" w:rsidRPr="009648AD" w:rsidRDefault="009648AD" w:rsidP="009648AD">
      <w:pPr>
        <w:keepNext/>
        <w:keepLines/>
        <w:spacing w:after="240"/>
        <w:outlineLvl w:val="0"/>
        <w:rPr>
          <w:rFonts w:eastAsiaTheme="majorEastAsia" w:cstheme="majorBidi"/>
          <w:b/>
          <w:bCs/>
          <w:caps/>
          <w:color w:val="006283"/>
          <w:szCs w:val="28"/>
          <w:lang w:val="fr-CH"/>
        </w:rPr>
      </w:pPr>
      <w:r w:rsidRPr="009648AD">
        <w:rPr>
          <w:rFonts w:eastAsiaTheme="majorEastAsia" w:cstheme="majorBidi"/>
          <w:b/>
          <w:bCs/>
          <w:caps/>
          <w:color w:val="006283"/>
          <w:szCs w:val="28"/>
          <w:lang w:val="fr-CH"/>
        </w:rPr>
        <w:t>OBJECTIFS</w:t>
      </w:r>
    </w:p>
    <w:p w14:paraId="0C63E038" w14:textId="77777777" w:rsidR="009648AD" w:rsidRPr="009648AD" w:rsidRDefault="009648AD" w:rsidP="009648AD">
      <w:pPr>
        <w:rPr>
          <w:bCs/>
          <w:szCs w:val="18"/>
          <w:lang w:val="fr-CH"/>
        </w:rPr>
      </w:pPr>
      <w:r w:rsidRPr="009648AD">
        <w:rPr>
          <w:bCs/>
          <w:szCs w:val="18"/>
          <w:lang w:val="fr-CH"/>
        </w:rPr>
        <w:t>À la fin de l'atelier, les participants seront capables de :</w:t>
      </w:r>
    </w:p>
    <w:p w14:paraId="333418A1" w14:textId="77777777" w:rsidR="001D5B31" w:rsidRDefault="001D5B31" w:rsidP="001D5B31">
      <w:pPr>
        <w:contextualSpacing/>
        <w:rPr>
          <w:lang w:val="fr-CH"/>
        </w:rPr>
      </w:pPr>
    </w:p>
    <w:p w14:paraId="33D6C6E1" w14:textId="77777777" w:rsidR="001D5B31" w:rsidRPr="001D5B31" w:rsidRDefault="001D5B31" w:rsidP="001D5B31">
      <w:pPr>
        <w:pStyle w:val="ListParagraph"/>
        <w:numPr>
          <w:ilvl w:val="0"/>
          <w:numId w:val="22"/>
        </w:numPr>
        <w:rPr>
          <w:bCs/>
          <w:szCs w:val="18"/>
          <w:lang w:val="fr-CH"/>
        </w:rPr>
      </w:pPr>
      <w:r w:rsidRPr="001D5B31">
        <w:rPr>
          <w:bCs/>
          <w:szCs w:val="18"/>
          <w:lang w:val="fr-CH"/>
        </w:rPr>
        <w:t>À la fin de l'atelier, les participants connaitrons les principales dispositions de l'AGCS sur le commerce des services, et la relation avec les accords commerciaux régionaux;</w:t>
      </w:r>
    </w:p>
    <w:p w14:paraId="51986F9E" w14:textId="77777777" w:rsidR="001D5B31" w:rsidRPr="001D5B31" w:rsidRDefault="001D5B31" w:rsidP="001D5B31">
      <w:pPr>
        <w:contextualSpacing/>
        <w:rPr>
          <w:bCs/>
          <w:szCs w:val="18"/>
          <w:lang w:val="fr-CH"/>
        </w:rPr>
      </w:pPr>
      <w:r w:rsidRPr="001D5B31">
        <w:rPr>
          <w:bCs/>
          <w:szCs w:val="18"/>
          <w:lang w:val="fr-CH"/>
        </w:rPr>
        <w:t xml:space="preserve"> </w:t>
      </w:r>
    </w:p>
    <w:p w14:paraId="5FFEDDFB" w14:textId="72BD15F2" w:rsidR="001D5B31" w:rsidRPr="001D5B31" w:rsidRDefault="001D5B31" w:rsidP="001D5B31">
      <w:pPr>
        <w:pStyle w:val="ListParagraph"/>
        <w:numPr>
          <w:ilvl w:val="0"/>
          <w:numId w:val="22"/>
        </w:numPr>
        <w:rPr>
          <w:bCs/>
          <w:szCs w:val="18"/>
          <w:lang w:val="fr-CH"/>
        </w:rPr>
      </w:pPr>
      <w:r w:rsidRPr="001D5B31">
        <w:rPr>
          <w:bCs/>
          <w:szCs w:val="18"/>
          <w:lang w:val="fr-CH"/>
        </w:rPr>
        <w:t xml:space="preserve">À la fin de l'atelier, les participants sauront comment </w:t>
      </w:r>
      <w:r w:rsidRPr="001D5B31">
        <w:rPr>
          <w:bCs/>
          <w:szCs w:val="18"/>
          <w:lang w:val="fr-CH"/>
        </w:rPr>
        <w:t>établir</w:t>
      </w:r>
      <w:r w:rsidRPr="001D5B31">
        <w:rPr>
          <w:bCs/>
          <w:szCs w:val="18"/>
          <w:lang w:val="fr-CH"/>
        </w:rPr>
        <w:t xml:space="preserve"> et lire des engagements sur l'accès au marché, et utiliser le contenu de la cartographie (ou audit) relatif aux politiques ayant trait au commerce de services;</w:t>
      </w:r>
    </w:p>
    <w:p w14:paraId="4F96E15D" w14:textId="77777777" w:rsidR="001D5B31" w:rsidRPr="001D5B31" w:rsidRDefault="001D5B31" w:rsidP="001D5B31">
      <w:pPr>
        <w:contextualSpacing/>
        <w:rPr>
          <w:bCs/>
          <w:szCs w:val="18"/>
          <w:lang w:val="fr-CH"/>
        </w:rPr>
      </w:pPr>
      <w:r w:rsidRPr="001D5B31">
        <w:rPr>
          <w:bCs/>
          <w:szCs w:val="18"/>
          <w:lang w:val="fr-CH"/>
        </w:rPr>
        <w:t xml:space="preserve"> </w:t>
      </w:r>
    </w:p>
    <w:p w14:paraId="024C5FD8" w14:textId="24C66FED" w:rsidR="001D5B31" w:rsidRPr="001D5B31" w:rsidRDefault="001D5B31" w:rsidP="001D5B31">
      <w:pPr>
        <w:pStyle w:val="ListParagraph"/>
        <w:numPr>
          <w:ilvl w:val="0"/>
          <w:numId w:val="22"/>
        </w:numPr>
        <w:rPr>
          <w:bCs/>
          <w:szCs w:val="18"/>
          <w:lang w:val="fr-CH"/>
        </w:rPr>
      </w:pPr>
      <w:r w:rsidRPr="001D5B31">
        <w:rPr>
          <w:bCs/>
          <w:szCs w:val="18"/>
          <w:lang w:val="fr-CH"/>
        </w:rPr>
        <w:t xml:space="preserve">À la fin de l'atelier, les participants </w:t>
      </w:r>
      <w:r w:rsidRPr="001D5B31">
        <w:rPr>
          <w:bCs/>
          <w:szCs w:val="18"/>
          <w:lang w:val="fr-CH"/>
        </w:rPr>
        <w:t>sauront</w:t>
      </w:r>
      <w:r w:rsidRPr="001D5B31">
        <w:rPr>
          <w:bCs/>
          <w:szCs w:val="18"/>
          <w:lang w:val="fr-CH"/>
        </w:rPr>
        <w:t xml:space="preserve"> naviguer les disciplines sur la réglementation intérieure dans le domaine des services et leurs liens avec l'expérience du Maroc sur les cadres réglementaires dans les services.</w:t>
      </w:r>
    </w:p>
    <w:p w14:paraId="62A725BD" w14:textId="77777777" w:rsidR="009648AD" w:rsidRPr="009648AD" w:rsidRDefault="009648AD" w:rsidP="009648AD">
      <w:pPr>
        <w:rPr>
          <w:lang w:val="fr-CH"/>
        </w:rPr>
      </w:pPr>
    </w:p>
    <w:tbl>
      <w:tblPr>
        <w:tblStyle w:val="WTOTable1"/>
        <w:tblW w:w="9634" w:type="dxa"/>
        <w:jc w:val="center"/>
        <w:tblLook w:val="04A0" w:firstRow="1" w:lastRow="0" w:firstColumn="1" w:lastColumn="0" w:noHBand="0" w:noVBand="1"/>
      </w:tblPr>
      <w:tblGrid>
        <w:gridCol w:w="2545"/>
        <w:gridCol w:w="7089"/>
      </w:tblGrid>
      <w:tr w:rsidR="001E2BED" w14:paraId="188B0AF1" w14:textId="77777777" w:rsidTr="001E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9634" w:type="dxa"/>
            <w:gridSpan w:val="2"/>
          </w:tcPr>
          <w:p w14:paraId="2F2E11CA" w14:textId="77777777" w:rsidR="001E2BED" w:rsidRPr="00E21DEF" w:rsidRDefault="001E2BED" w:rsidP="00C02E58">
            <w:pPr>
              <w:jc w:val="center"/>
              <w:rPr>
                <w:b w:val="0"/>
                <w:lang w:val="fr-FR"/>
              </w:rPr>
            </w:pPr>
            <w:bookmarkStart w:id="0" w:name="_Hlk136873261"/>
          </w:p>
          <w:p w14:paraId="156D4688" w14:textId="77777777" w:rsidR="001E2BED" w:rsidRDefault="001E2BED" w:rsidP="00C02E58">
            <w:pPr>
              <w:jc w:val="center"/>
              <w:rPr>
                <w:b w:val="0"/>
              </w:rPr>
            </w:pPr>
            <w:r>
              <w:t>Jour</w:t>
            </w:r>
            <w:r w:rsidRPr="00E55289">
              <w:t xml:space="preserve"> 1</w:t>
            </w:r>
          </w:p>
          <w:p w14:paraId="1C378236" w14:textId="77777777" w:rsidR="001E2BED" w:rsidRPr="00E55289" w:rsidRDefault="001E2BED" w:rsidP="00C02E58">
            <w:pPr>
              <w:jc w:val="center"/>
            </w:pPr>
          </w:p>
        </w:tc>
      </w:tr>
      <w:tr w:rsidR="008C77E8" w:rsidRPr="001E2BED" w14:paraId="0CE1BE14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292F714E" w14:textId="77777777" w:rsidR="008C77E8" w:rsidRPr="00965C2E" w:rsidRDefault="008C77E8" w:rsidP="00C02E58">
            <w:pPr>
              <w:rPr>
                <w:b/>
                <w:bCs/>
                <w:i/>
                <w:iCs/>
              </w:rPr>
            </w:pPr>
            <w:r w:rsidRPr="008C77E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8</w:t>
            </w:r>
            <w:r w:rsidRPr="008C77E8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30</w:t>
            </w:r>
            <w:r w:rsidRPr="008C77E8">
              <w:rPr>
                <w:b/>
                <w:bCs/>
                <w:i/>
                <w:iCs/>
              </w:rPr>
              <w:t>–</w:t>
            </w:r>
            <w:r w:rsidR="004A3431">
              <w:rPr>
                <w:b/>
                <w:bCs/>
                <w:i/>
                <w:iCs/>
              </w:rPr>
              <w:t>09:00</w:t>
            </w:r>
            <w:r w:rsidRPr="008C77E8">
              <w:rPr>
                <w:b/>
                <w:bCs/>
                <w:i/>
                <w:iCs/>
              </w:rPr>
              <w:tab/>
            </w:r>
          </w:p>
        </w:tc>
        <w:tc>
          <w:tcPr>
            <w:tcW w:w="7089" w:type="dxa"/>
          </w:tcPr>
          <w:p w14:paraId="1C1A8831" w14:textId="77777777" w:rsidR="008C77E8" w:rsidRDefault="008C77E8" w:rsidP="00C02E58">
            <w:pPr>
              <w:rPr>
                <w:lang w:val="fr-CH"/>
              </w:rPr>
            </w:pPr>
            <w:r w:rsidRPr="008C77E8">
              <w:rPr>
                <w:lang w:val="fr-CH"/>
              </w:rPr>
              <w:t>Enregistrement des participants</w:t>
            </w:r>
          </w:p>
          <w:p w14:paraId="40E784E3" w14:textId="77777777" w:rsidR="008C77E8" w:rsidRPr="00E55289" w:rsidRDefault="008C77E8" w:rsidP="00C02E58">
            <w:pPr>
              <w:rPr>
                <w:lang w:val="fr-CH"/>
              </w:rPr>
            </w:pPr>
          </w:p>
        </w:tc>
      </w:tr>
      <w:tr w:rsidR="008C77E8" w:rsidRPr="008C77E8" w14:paraId="04065E7B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4B45AEED" w14:textId="77777777" w:rsidR="008C77E8" w:rsidRDefault="004A3431" w:rsidP="00C02E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09:00</w:t>
            </w:r>
            <w:r w:rsidR="008C77E8" w:rsidRPr="008C77E8">
              <w:rPr>
                <w:b/>
                <w:bCs/>
                <w:i/>
                <w:iCs/>
              </w:rPr>
              <w:t>–</w:t>
            </w:r>
            <w:r w:rsidR="008C77E8">
              <w:rPr>
                <w:b/>
                <w:bCs/>
                <w:i/>
                <w:iCs/>
              </w:rPr>
              <w:t>09</w:t>
            </w:r>
            <w:r w:rsidR="008C77E8" w:rsidRPr="008C77E8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>15</w:t>
            </w:r>
          </w:p>
          <w:p w14:paraId="4B5493A3" w14:textId="77777777" w:rsidR="008C77E8" w:rsidRPr="00965C2E" w:rsidRDefault="008C77E8" w:rsidP="00C02E58">
            <w:pPr>
              <w:rPr>
                <w:b/>
                <w:bCs/>
                <w:i/>
                <w:iCs/>
              </w:rPr>
            </w:pPr>
          </w:p>
        </w:tc>
        <w:tc>
          <w:tcPr>
            <w:tcW w:w="7089" w:type="dxa"/>
          </w:tcPr>
          <w:p w14:paraId="06B0B061" w14:textId="77777777" w:rsidR="008C77E8" w:rsidRDefault="008C77E8" w:rsidP="00C02E58">
            <w:pPr>
              <w:rPr>
                <w:lang w:val="fr-CH"/>
              </w:rPr>
            </w:pPr>
            <w:r w:rsidRPr="008C77E8">
              <w:rPr>
                <w:lang w:val="fr-CH"/>
              </w:rPr>
              <w:t>Ouverture officielle d</w:t>
            </w:r>
            <w:r>
              <w:rPr>
                <w:lang w:val="fr-CH"/>
              </w:rPr>
              <w:t xml:space="preserve">e </w:t>
            </w:r>
            <w:r w:rsidR="00C733F8">
              <w:rPr>
                <w:lang w:val="fr-CH"/>
              </w:rPr>
              <w:t>l'atelier</w:t>
            </w:r>
          </w:p>
          <w:p w14:paraId="436B3CC0" w14:textId="77777777" w:rsidR="008C77E8" w:rsidRPr="004A3431" w:rsidRDefault="008C77E8" w:rsidP="004A3431">
            <w:pPr>
              <w:rPr>
                <w:lang w:val="fr-CH"/>
              </w:rPr>
            </w:pPr>
          </w:p>
        </w:tc>
      </w:tr>
      <w:tr w:rsidR="001E2BED" w:rsidRPr="009648AD" w14:paraId="5D48AC66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363482A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>
              <w:rPr>
                <w:b/>
                <w:bCs/>
                <w:i/>
                <w:iCs/>
                <w:lang w:val="fr-CH"/>
              </w:rPr>
              <w:t>09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4A3431">
              <w:rPr>
                <w:b/>
                <w:bCs/>
                <w:i/>
                <w:iCs/>
                <w:lang w:val="fr-CH"/>
              </w:rPr>
              <w:t>15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- </w:t>
            </w:r>
            <w:r w:rsidR="004A3431">
              <w:rPr>
                <w:b/>
                <w:bCs/>
                <w:i/>
                <w:iCs/>
                <w:lang w:val="fr-CH"/>
              </w:rPr>
              <w:t>09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4A3431">
              <w:rPr>
                <w:b/>
                <w:bCs/>
                <w:i/>
                <w:iCs/>
                <w:lang w:val="fr-CH"/>
              </w:rPr>
              <w:t>3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</w:p>
          <w:p w14:paraId="12D41E92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6EA57A10" w14:textId="059D3CD6" w:rsidR="001E2BED" w:rsidRPr="00E55289" w:rsidRDefault="00557884" w:rsidP="00C02E58">
            <w:pPr>
              <w:rPr>
                <w:lang w:val="fr-CH"/>
              </w:rPr>
            </w:pPr>
            <w:r>
              <w:rPr>
                <w:lang w:val="fr-CH"/>
              </w:rPr>
              <w:t xml:space="preserve"> Tour de table : </w:t>
            </w:r>
            <w:r w:rsidRPr="00557884">
              <w:rPr>
                <w:lang w:val="fr-CH"/>
              </w:rPr>
              <w:t>Évaluation des connaissances des participants</w:t>
            </w:r>
          </w:p>
        </w:tc>
      </w:tr>
      <w:tr w:rsidR="001E2BED" w:rsidRPr="009648AD" w14:paraId="69D9BFC4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480AB72C" w14:textId="77777777" w:rsidR="001E2BED" w:rsidRPr="00965C2E" w:rsidRDefault="006E620B" w:rsidP="00C02E58">
            <w:pPr>
              <w:rPr>
                <w:b/>
                <w:bCs/>
                <w:i/>
                <w:iCs/>
                <w:lang w:val="fr-CH"/>
              </w:rPr>
            </w:pPr>
            <w:r>
              <w:rPr>
                <w:b/>
                <w:bCs/>
                <w:i/>
                <w:iCs/>
                <w:lang w:val="fr-CH"/>
              </w:rPr>
              <w:t>09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30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 xml:space="preserve"> – 12:</w:t>
            </w:r>
            <w:r>
              <w:rPr>
                <w:b/>
                <w:bCs/>
                <w:i/>
                <w:iCs/>
                <w:lang w:val="fr-CH"/>
              </w:rPr>
              <w:t>00</w:t>
            </w:r>
          </w:p>
        </w:tc>
        <w:tc>
          <w:tcPr>
            <w:tcW w:w="7089" w:type="dxa"/>
          </w:tcPr>
          <w:p w14:paraId="5E21DEF6" w14:textId="77777777" w:rsidR="009E0EDE" w:rsidRDefault="001E2BED" w:rsidP="009E0EDE">
            <w:pPr>
              <w:rPr>
                <w:lang w:val="fr-CH"/>
              </w:rPr>
            </w:pPr>
            <w:r w:rsidRPr="00C35928">
              <w:rPr>
                <w:lang w:val="fr-CH"/>
              </w:rPr>
              <w:t>Principales caractéristiques du commerce des services et l'Accord général sur le commerce des services (AGCS)</w:t>
            </w:r>
            <w:r>
              <w:rPr>
                <w:lang w:val="fr-CH"/>
              </w:rPr>
              <w:t xml:space="preserve"> </w:t>
            </w:r>
          </w:p>
          <w:p w14:paraId="54736440" w14:textId="77777777" w:rsidR="009E0EDE" w:rsidRPr="00E55289" w:rsidRDefault="009E0EDE" w:rsidP="009E0EDE">
            <w:pPr>
              <w:rPr>
                <w:lang w:val="fr-CH"/>
              </w:rPr>
            </w:pPr>
          </w:p>
        </w:tc>
      </w:tr>
      <w:tr w:rsidR="001E2BED" w:rsidRPr="00E55289" w14:paraId="292EBC47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619EBE35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 w:rsidRPr="00965C2E">
              <w:rPr>
                <w:b/>
                <w:bCs/>
                <w:i/>
                <w:iCs/>
                <w:lang w:val="fr-CH"/>
              </w:rPr>
              <w:t>12:</w:t>
            </w:r>
            <w:r w:rsidR="006E620B">
              <w:rPr>
                <w:b/>
                <w:bCs/>
                <w:i/>
                <w:iCs/>
                <w:lang w:val="fr-CH"/>
              </w:rPr>
              <w:t>00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– </w:t>
            </w:r>
            <w:r w:rsidR="006E620B">
              <w:rPr>
                <w:b/>
                <w:bCs/>
                <w:i/>
                <w:iCs/>
                <w:lang w:val="fr-CH"/>
              </w:rPr>
              <w:t>14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6E620B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21F3E8B3" w14:textId="77777777" w:rsidR="001E2BED" w:rsidRPr="004500A5" w:rsidRDefault="001E2BED" w:rsidP="00C02E58">
            <w:pPr>
              <w:rPr>
                <w:i/>
                <w:iCs/>
                <w:lang w:val="fr-CH"/>
              </w:rPr>
            </w:pPr>
            <w:r w:rsidRPr="004500A5">
              <w:rPr>
                <w:i/>
                <w:iCs/>
                <w:lang w:val="fr-CH"/>
              </w:rPr>
              <w:t xml:space="preserve">Pause déjeuneur </w:t>
            </w:r>
          </w:p>
          <w:p w14:paraId="2532CEA8" w14:textId="77777777" w:rsidR="001E2BED" w:rsidRPr="00C35928" w:rsidRDefault="001E2BED" w:rsidP="00C02E58">
            <w:pPr>
              <w:rPr>
                <w:lang w:val="fr-CH"/>
              </w:rPr>
            </w:pPr>
          </w:p>
        </w:tc>
      </w:tr>
      <w:tr w:rsidR="001E2BED" w:rsidRPr="009648AD" w14:paraId="4A866FBF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00F9C0F2" w14:textId="77777777" w:rsidR="001E2BED" w:rsidRPr="00965C2E" w:rsidRDefault="009E0EDE" w:rsidP="00C02E58">
            <w:pPr>
              <w:rPr>
                <w:b/>
                <w:bCs/>
                <w:i/>
                <w:iCs/>
                <w:lang w:val="fr-CH"/>
              </w:rPr>
            </w:pPr>
            <w:r>
              <w:rPr>
                <w:b/>
                <w:bCs/>
                <w:i/>
                <w:iCs/>
                <w:lang w:val="fr-CH"/>
              </w:rPr>
              <w:t>14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0 – 1</w:t>
            </w:r>
            <w:r>
              <w:rPr>
                <w:b/>
                <w:bCs/>
                <w:i/>
                <w:iCs/>
                <w:lang w:val="fr-CH"/>
              </w:rPr>
              <w:t>7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086BAC87" w14:textId="77777777" w:rsidR="001E2BED" w:rsidRDefault="00010886" w:rsidP="00C02E58">
            <w:pPr>
              <w:rPr>
                <w:lang w:val="fr-CH"/>
              </w:rPr>
            </w:pPr>
            <w:r>
              <w:rPr>
                <w:lang w:val="fr-CH"/>
              </w:rPr>
              <w:t>La</w:t>
            </w:r>
            <w:r w:rsidR="001E2BED" w:rsidRPr="00C35928">
              <w:rPr>
                <w:lang w:val="fr-CH"/>
              </w:rPr>
              <w:t xml:space="preserve"> liste d'engagements spécifiques</w:t>
            </w:r>
            <w:r w:rsidR="00600814">
              <w:rPr>
                <w:lang w:val="fr-CH"/>
              </w:rPr>
              <w:t xml:space="preserve">, avec focus sur le cas du Maroc </w:t>
            </w:r>
            <w:r w:rsidR="001E2BED" w:rsidRPr="00C35928">
              <w:rPr>
                <w:lang w:val="fr-CH"/>
              </w:rPr>
              <w:t>(avec atelier</w:t>
            </w:r>
            <w:r w:rsidR="009E0EDE">
              <w:rPr>
                <w:lang w:val="fr-CH"/>
              </w:rPr>
              <w:t xml:space="preserve"> pratique en groupes</w:t>
            </w:r>
            <w:r w:rsidR="001E2BED" w:rsidRPr="00C35928">
              <w:rPr>
                <w:lang w:val="fr-CH"/>
              </w:rPr>
              <w:t>)</w:t>
            </w:r>
          </w:p>
          <w:p w14:paraId="25C67BC1" w14:textId="77777777" w:rsidR="009E0EDE" w:rsidRPr="00E55289" w:rsidRDefault="009E0EDE" w:rsidP="00C02E58">
            <w:pPr>
              <w:rPr>
                <w:lang w:val="fr-CH"/>
              </w:rPr>
            </w:pPr>
          </w:p>
        </w:tc>
      </w:tr>
      <w:bookmarkEnd w:id="0"/>
      <w:tr w:rsidR="001E2BED" w14:paraId="7420B2B3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9634" w:type="dxa"/>
            <w:gridSpan w:val="2"/>
            <w:shd w:val="clear" w:color="auto" w:fill="006283"/>
          </w:tcPr>
          <w:p w14:paraId="2279BF4E" w14:textId="77777777" w:rsidR="001E2BED" w:rsidRPr="001664B0" w:rsidRDefault="001E2BED" w:rsidP="00C02E58">
            <w:pPr>
              <w:jc w:val="center"/>
              <w:rPr>
                <w:b/>
                <w:color w:val="FFFFFF" w:themeColor="background1"/>
                <w:lang w:val="fr-CH"/>
              </w:rPr>
            </w:pPr>
          </w:p>
          <w:p w14:paraId="33ACC517" w14:textId="77777777" w:rsidR="001E2BED" w:rsidRPr="00022B5A" w:rsidRDefault="001E2BED" w:rsidP="00C02E5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Jour</w:t>
            </w:r>
            <w:r w:rsidRPr="00022B5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2</w:t>
            </w:r>
          </w:p>
          <w:p w14:paraId="0611CE36" w14:textId="77777777" w:rsidR="001E2BED" w:rsidRPr="00E55289" w:rsidRDefault="001E2BED" w:rsidP="00C02E58">
            <w:pPr>
              <w:jc w:val="center"/>
              <w:rPr>
                <w:b/>
              </w:rPr>
            </w:pPr>
          </w:p>
        </w:tc>
      </w:tr>
      <w:tr w:rsidR="001E2BED" w:rsidRPr="009648AD" w14:paraId="02B498E6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25746900" w14:textId="2E5FF04F" w:rsidR="001E2BED" w:rsidRPr="00965C2E" w:rsidRDefault="001E2BED" w:rsidP="00C02E58">
            <w:pPr>
              <w:rPr>
                <w:b/>
                <w:bCs/>
                <w:i/>
                <w:iCs/>
              </w:rPr>
            </w:pPr>
            <w:r w:rsidRPr="00965C2E">
              <w:rPr>
                <w:b/>
                <w:bCs/>
                <w:i/>
                <w:iCs/>
              </w:rPr>
              <w:t xml:space="preserve">09:00 – </w:t>
            </w:r>
            <w:r w:rsidR="009E0EDE">
              <w:rPr>
                <w:b/>
                <w:bCs/>
                <w:i/>
                <w:iCs/>
              </w:rPr>
              <w:t>1</w:t>
            </w:r>
            <w:r w:rsidR="00824B6E">
              <w:rPr>
                <w:b/>
                <w:bCs/>
                <w:i/>
                <w:iCs/>
              </w:rPr>
              <w:t>1</w:t>
            </w:r>
            <w:r w:rsidRPr="00965C2E">
              <w:rPr>
                <w:b/>
                <w:bCs/>
                <w:i/>
                <w:iCs/>
              </w:rPr>
              <w:t>:</w:t>
            </w:r>
            <w:r w:rsidR="002871BA">
              <w:rPr>
                <w:b/>
                <w:bCs/>
                <w:i/>
                <w:iCs/>
              </w:rPr>
              <w:t>0</w:t>
            </w:r>
            <w:r w:rsidRPr="00965C2E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9" w:type="dxa"/>
          </w:tcPr>
          <w:p w14:paraId="5F481EC5" w14:textId="77777777" w:rsidR="009E0EDE" w:rsidRDefault="00824B6E" w:rsidP="00C02E58">
            <w:pPr>
              <w:rPr>
                <w:lang w:val="fr-CH"/>
              </w:rPr>
            </w:pPr>
            <w:r w:rsidRPr="00824B6E">
              <w:rPr>
                <w:lang w:val="fr-CH"/>
              </w:rPr>
              <w:t>Tendances et caractéristiques des accords commerciaux régionaux sur les services</w:t>
            </w:r>
          </w:p>
          <w:p w14:paraId="0683A098" w14:textId="5798F68B" w:rsidR="00B70EF2" w:rsidRPr="00E55289" w:rsidRDefault="00B70EF2" w:rsidP="00C02E58">
            <w:pPr>
              <w:rPr>
                <w:lang w:val="fr-CH"/>
              </w:rPr>
            </w:pPr>
          </w:p>
        </w:tc>
      </w:tr>
      <w:tr w:rsidR="001E2BED" w:rsidRPr="009648AD" w14:paraId="4C009A79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655A7370" w14:textId="3C887D14" w:rsidR="001E2BED" w:rsidRPr="00965C2E" w:rsidRDefault="009E0EDE" w:rsidP="00C02E58">
            <w:pPr>
              <w:rPr>
                <w:b/>
                <w:bCs/>
                <w:i/>
                <w:iCs/>
                <w:lang w:val="fr-CH"/>
              </w:rPr>
            </w:pPr>
            <w:r>
              <w:rPr>
                <w:b/>
                <w:bCs/>
                <w:i/>
                <w:iCs/>
                <w:lang w:val="fr-CH"/>
              </w:rPr>
              <w:t>1</w:t>
            </w:r>
            <w:r w:rsidR="00824B6E">
              <w:rPr>
                <w:b/>
                <w:bCs/>
                <w:i/>
                <w:iCs/>
                <w:lang w:val="fr-CH"/>
              </w:rPr>
              <w:t>1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:</w:t>
            </w:r>
            <w:r w:rsidR="002871BA">
              <w:rPr>
                <w:b/>
                <w:bCs/>
                <w:i/>
                <w:iCs/>
                <w:lang w:val="fr-CH"/>
              </w:rPr>
              <w:t>0</w:t>
            </w:r>
            <w:r w:rsidR="00BA60C7">
              <w:rPr>
                <w:b/>
                <w:bCs/>
                <w:i/>
                <w:iCs/>
                <w:lang w:val="fr-CH"/>
              </w:rPr>
              <w:t>0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 xml:space="preserve"> - 1</w:t>
            </w:r>
            <w:r w:rsidR="00824B6E">
              <w:rPr>
                <w:b/>
                <w:bCs/>
                <w:i/>
                <w:iCs/>
                <w:lang w:val="fr-CH"/>
              </w:rPr>
              <w:t>2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>:</w:t>
            </w:r>
            <w:r w:rsidR="00BA60C7">
              <w:rPr>
                <w:b/>
                <w:bCs/>
                <w:i/>
                <w:iCs/>
                <w:lang w:val="fr-CH"/>
              </w:rPr>
              <w:t>0</w:t>
            </w:r>
            <w:r w:rsidR="001E2BED" w:rsidRPr="00965C2E">
              <w:rPr>
                <w:b/>
                <w:bCs/>
                <w:i/>
                <w:iCs/>
                <w:lang w:val="fr-CH"/>
              </w:rPr>
              <w:t xml:space="preserve">0 </w:t>
            </w:r>
          </w:p>
          <w:p w14:paraId="5A0B7F42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3180039B" w14:textId="43023416" w:rsidR="001E2BED" w:rsidRDefault="00824B6E" w:rsidP="00824B6E">
            <w:pPr>
              <w:rPr>
                <w:lang w:val="fr-CH"/>
              </w:rPr>
            </w:pPr>
            <w:r w:rsidRPr="00340EAD">
              <w:rPr>
                <w:lang w:val="fr-CH"/>
              </w:rPr>
              <w:t>Audits réglementaire ("cartographie") et le portail intégré d'information commerciale (I-TIP services</w:t>
            </w:r>
            <w:r>
              <w:rPr>
                <w:lang w:val="fr-CH"/>
              </w:rPr>
              <w:t>) et u</w:t>
            </w:r>
            <w:r w:rsidRPr="00022B5A">
              <w:rPr>
                <w:lang w:val="fr-CH"/>
              </w:rPr>
              <w:t>tilisation</w:t>
            </w:r>
            <w:r>
              <w:rPr>
                <w:lang w:val="fr-CH"/>
              </w:rPr>
              <w:t xml:space="preserve">s </w:t>
            </w:r>
            <w:r w:rsidRPr="00022B5A">
              <w:rPr>
                <w:lang w:val="fr-CH"/>
              </w:rPr>
              <w:t xml:space="preserve">pour la préparation </w:t>
            </w:r>
            <w:r>
              <w:rPr>
                <w:lang w:val="fr-CH"/>
              </w:rPr>
              <w:t>des engagements (liste positive v négative)</w:t>
            </w:r>
          </w:p>
          <w:p w14:paraId="43A27F76" w14:textId="0DB00465" w:rsidR="00824B6E" w:rsidRPr="00E55289" w:rsidRDefault="00824B6E" w:rsidP="00824B6E">
            <w:pPr>
              <w:rPr>
                <w:lang w:val="fr-CH"/>
              </w:rPr>
            </w:pPr>
          </w:p>
        </w:tc>
      </w:tr>
      <w:tr w:rsidR="001E2BED" w:rsidRPr="00E55289" w14:paraId="04CE03E9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5639BB17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 w:rsidRPr="00965C2E">
              <w:rPr>
                <w:b/>
                <w:bCs/>
                <w:i/>
                <w:iCs/>
                <w:lang w:val="fr-CH"/>
              </w:rPr>
              <w:t>12:</w:t>
            </w:r>
            <w:r w:rsidR="002871BA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 – 1</w:t>
            </w:r>
            <w:r w:rsidR="002871BA">
              <w:rPr>
                <w:b/>
                <w:bCs/>
                <w:i/>
                <w:iCs/>
                <w:lang w:val="fr-CH"/>
              </w:rPr>
              <w:t>4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2871BA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7FCB3965" w14:textId="77777777" w:rsidR="001E2BED" w:rsidRPr="004500A5" w:rsidRDefault="001E2BED" w:rsidP="00C02E58">
            <w:pPr>
              <w:rPr>
                <w:i/>
                <w:iCs/>
                <w:lang w:val="fr-CH"/>
              </w:rPr>
            </w:pPr>
            <w:r w:rsidRPr="004500A5">
              <w:rPr>
                <w:i/>
                <w:iCs/>
                <w:lang w:val="fr-CH"/>
              </w:rPr>
              <w:t xml:space="preserve">Pause déjeuneur </w:t>
            </w:r>
          </w:p>
          <w:p w14:paraId="3265C1F1" w14:textId="77777777" w:rsidR="001E2BED" w:rsidRPr="00C35928" w:rsidRDefault="001E2BED" w:rsidP="00C02E58">
            <w:pPr>
              <w:rPr>
                <w:lang w:val="fr-CH"/>
              </w:rPr>
            </w:pPr>
          </w:p>
        </w:tc>
      </w:tr>
      <w:tr w:rsidR="002871BA" w:rsidRPr="009648AD" w14:paraId="6310FB07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6E78AE73" w14:textId="7C338D2B" w:rsidR="002871BA" w:rsidRPr="00965C2E" w:rsidRDefault="000B612D" w:rsidP="00F14697">
            <w:pPr>
              <w:rPr>
                <w:b/>
                <w:bCs/>
                <w:i/>
                <w:iCs/>
                <w:lang w:val="fr-CH"/>
              </w:rPr>
            </w:pPr>
            <w:r>
              <w:rPr>
                <w:b/>
                <w:bCs/>
                <w:i/>
                <w:iCs/>
                <w:lang w:val="fr-CH"/>
              </w:rPr>
              <w:t>14:00 -</w:t>
            </w:r>
            <w:r w:rsidR="00F14697">
              <w:rPr>
                <w:b/>
                <w:bCs/>
                <w:i/>
                <w:iCs/>
                <w:lang w:val="fr-CH"/>
              </w:rPr>
              <w:t>17</w:t>
            </w:r>
            <w:r>
              <w:rPr>
                <w:b/>
                <w:bCs/>
                <w:i/>
                <w:iCs/>
                <w:lang w:val="fr-CH"/>
              </w:rPr>
              <w:t>:</w:t>
            </w:r>
            <w:r w:rsidR="007926E0">
              <w:rPr>
                <w:b/>
                <w:bCs/>
                <w:i/>
                <w:iCs/>
                <w:lang w:val="fr-CH"/>
              </w:rPr>
              <w:t>0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34438E3D" w14:textId="77777777" w:rsidR="007926E0" w:rsidRDefault="00824B6E" w:rsidP="000B612D">
            <w:pPr>
              <w:rPr>
                <w:lang w:val="fr-CH"/>
              </w:rPr>
            </w:pPr>
            <w:r>
              <w:rPr>
                <w:lang w:val="fr-CH"/>
              </w:rPr>
              <w:t xml:space="preserve">Atelier sur l'utilisation du portail I-ITIP services et des audits réglementaire dans le cadre des négociations bilatérales, régionales, ou multilatérales </w:t>
            </w:r>
          </w:p>
          <w:p w14:paraId="16F8D506" w14:textId="498981B7" w:rsidR="00B70EF2" w:rsidRPr="000B612D" w:rsidRDefault="00B70EF2" w:rsidP="000B612D">
            <w:pPr>
              <w:rPr>
                <w:lang w:val="fr-CH"/>
              </w:rPr>
            </w:pPr>
          </w:p>
        </w:tc>
      </w:tr>
      <w:tr w:rsidR="001E2BED" w:rsidRPr="00E55289" w14:paraId="057464D1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9634" w:type="dxa"/>
            <w:gridSpan w:val="2"/>
            <w:shd w:val="clear" w:color="auto" w:fill="006283"/>
          </w:tcPr>
          <w:p w14:paraId="7C56B111" w14:textId="77777777" w:rsidR="001E2BED" w:rsidRPr="001664B0" w:rsidRDefault="001E2BED" w:rsidP="00C02E58">
            <w:pPr>
              <w:jc w:val="center"/>
              <w:rPr>
                <w:b/>
                <w:color w:val="FFFFFF" w:themeColor="background1"/>
                <w:lang w:val="fr-CH"/>
              </w:rPr>
            </w:pPr>
          </w:p>
          <w:p w14:paraId="24D3C36D" w14:textId="77777777" w:rsidR="001E2BED" w:rsidRPr="00022B5A" w:rsidRDefault="001E2BED" w:rsidP="00C02E5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Jour</w:t>
            </w:r>
            <w:r w:rsidRPr="00022B5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3</w:t>
            </w:r>
          </w:p>
          <w:p w14:paraId="6AFCF5F3" w14:textId="77777777" w:rsidR="001E2BED" w:rsidRPr="00E55289" w:rsidRDefault="001E2BED" w:rsidP="00C02E58">
            <w:pPr>
              <w:jc w:val="center"/>
              <w:rPr>
                <w:b/>
              </w:rPr>
            </w:pPr>
          </w:p>
        </w:tc>
      </w:tr>
      <w:tr w:rsidR="001E2BED" w:rsidRPr="009648AD" w14:paraId="136035F2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5D4C4B04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 w:rsidRPr="00965C2E">
              <w:rPr>
                <w:b/>
                <w:bCs/>
                <w:i/>
                <w:iCs/>
                <w:lang w:val="fr-CH"/>
              </w:rPr>
              <w:t>0</w:t>
            </w:r>
            <w:r>
              <w:rPr>
                <w:b/>
                <w:bCs/>
                <w:i/>
                <w:iCs/>
                <w:lang w:val="fr-CH"/>
              </w:rPr>
              <w:t>9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0 </w:t>
            </w:r>
            <w:r>
              <w:rPr>
                <w:b/>
                <w:bCs/>
                <w:i/>
                <w:iCs/>
                <w:lang w:val="fr-CH"/>
              </w:rPr>
              <w:t>–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1</w:t>
            </w:r>
            <w:r>
              <w:rPr>
                <w:b/>
                <w:bCs/>
                <w:i/>
                <w:iCs/>
                <w:lang w:val="fr-CH"/>
              </w:rPr>
              <w:t>0:</w:t>
            </w:r>
            <w:r w:rsidR="00AC0806">
              <w:rPr>
                <w:b/>
                <w:bCs/>
                <w:i/>
                <w:iCs/>
                <w:lang w:val="fr-CH"/>
              </w:rPr>
              <w:t>3</w:t>
            </w:r>
            <w:r w:rsidR="007926E0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</w:t>
            </w:r>
          </w:p>
          <w:p w14:paraId="52E6AEEB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76D15EBC" w14:textId="77777777" w:rsidR="001E2BED" w:rsidRDefault="007926E0" w:rsidP="001E2BED">
            <w:pPr>
              <w:rPr>
                <w:lang w:val="fr-CH"/>
              </w:rPr>
            </w:pPr>
            <w:r>
              <w:rPr>
                <w:lang w:val="fr-CH"/>
              </w:rPr>
              <w:t>Les disciplines</w:t>
            </w:r>
            <w:r w:rsidR="00AC0806">
              <w:rPr>
                <w:lang w:val="fr-CH"/>
              </w:rPr>
              <w:t xml:space="preserve"> de l' OMC</w:t>
            </w:r>
            <w:r>
              <w:rPr>
                <w:lang w:val="fr-CH"/>
              </w:rPr>
              <w:t xml:space="preserve"> </w:t>
            </w:r>
            <w:r w:rsidRPr="009A73AC">
              <w:rPr>
                <w:lang w:val="fr-CH"/>
              </w:rPr>
              <w:t xml:space="preserve">sur la réglementation intérieure </w:t>
            </w:r>
            <w:r>
              <w:rPr>
                <w:lang w:val="fr-CH"/>
              </w:rPr>
              <w:t xml:space="preserve">dans le domaine </w:t>
            </w:r>
            <w:r w:rsidRPr="009A73AC">
              <w:rPr>
                <w:lang w:val="fr-CH"/>
              </w:rPr>
              <w:t>des services</w:t>
            </w:r>
            <w:r>
              <w:rPr>
                <w:lang w:val="fr-CH"/>
              </w:rPr>
              <w:t xml:space="preserve"> (</w:t>
            </w:r>
            <w:r w:rsidR="00AC0806">
              <w:rPr>
                <w:lang w:val="fr-CH"/>
              </w:rPr>
              <w:t>liens avec expériences régionales</w:t>
            </w:r>
            <w:r>
              <w:rPr>
                <w:lang w:val="fr-CH"/>
              </w:rPr>
              <w:t>)</w:t>
            </w:r>
          </w:p>
          <w:p w14:paraId="592C4BAE" w14:textId="77777777" w:rsidR="007926E0" w:rsidRPr="00E55289" w:rsidRDefault="007926E0" w:rsidP="001E2BED">
            <w:pPr>
              <w:rPr>
                <w:lang w:val="fr-CH"/>
              </w:rPr>
            </w:pPr>
          </w:p>
        </w:tc>
      </w:tr>
      <w:tr w:rsidR="001E2BED" w:rsidRPr="009648AD" w14:paraId="4EA36CE3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6D022F52" w14:textId="77777777" w:rsidR="001E2BED" w:rsidRPr="00965C2E" w:rsidRDefault="001E2BED" w:rsidP="00C02E58">
            <w:pPr>
              <w:jc w:val="left"/>
              <w:rPr>
                <w:b/>
                <w:bCs/>
                <w:i/>
                <w:iCs/>
                <w:lang w:val="fr-CH"/>
              </w:rPr>
            </w:pPr>
            <w:r w:rsidRPr="00965C2E">
              <w:rPr>
                <w:b/>
                <w:bCs/>
                <w:i/>
                <w:iCs/>
                <w:lang w:val="fr-CH"/>
              </w:rPr>
              <w:t>1</w:t>
            </w:r>
            <w:r>
              <w:rPr>
                <w:b/>
                <w:bCs/>
                <w:i/>
                <w:iCs/>
                <w:lang w:val="fr-CH"/>
              </w:rPr>
              <w:t>0:</w:t>
            </w:r>
            <w:r w:rsidR="007926E0">
              <w:rPr>
                <w:b/>
                <w:bCs/>
                <w:i/>
                <w:iCs/>
                <w:lang w:val="fr-CH"/>
              </w:rPr>
              <w:t>30</w:t>
            </w:r>
            <w:r w:rsidRPr="00965C2E">
              <w:rPr>
                <w:b/>
                <w:bCs/>
                <w:i/>
                <w:iCs/>
                <w:lang w:val="fr-CH"/>
              </w:rPr>
              <w:t xml:space="preserve"> – 1</w:t>
            </w:r>
            <w:r w:rsidR="007926E0">
              <w:rPr>
                <w:b/>
                <w:bCs/>
                <w:i/>
                <w:iCs/>
                <w:lang w:val="fr-CH"/>
              </w:rPr>
              <w:t>2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00</w:t>
            </w:r>
          </w:p>
        </w:tc>
        <w:tc>
          <w:tcPr>
            <w:tcW w:w="7089" w:type="dxa"/>
          </w:tcPr>
          <w:p w14:paraId="07DE55A7" w14:textId="77777777" w:rsidR="001E2BED" w:rsidRDefault="007926E0" w:rsidP="00C02E58">
            <w:pPr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Atelier en groupes sur les disciplines sur la réglementation intérieure et rapport en plénière </w:t>
            </w:r>
          </w:p>
          <w:p w14:paraId="77889AB1" w14:textId="77777777" w:rsidR="007926E0" w:rsidRPr="004500A5" w:rsidRDefault="007926E0" w:rsidP="00C02E58">
            <w:pPr>
              <w:jc w:val="left"/>
              <w:rPr>
                <w:lang w:val="fr-CH"/>
              </w:rPr>
            </w:pPr>
          </w:p>
        </w:tc>
      </w:tr>
      <w:tr w:rsidR="001E2BED" w:rsidRPr="00C35928" w14:paraId="7E88F0A2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6E953294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 w:rsidRPr="00965C2E">
              <w:rPr>
                <w:b/>
                <w:bCs/>
                <w:i/>
                <w:iCs/>
                <w:lang w:val="fr-CH"/>
              </w:rPr>
              <w:lastRenderedPageBreak/>
              <w:t>12:</w:t>
            </w:r>
            <w:r w:rsidR="008C2667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 – 1</w:t>
            </w:r>
            <w:r w:rsidR="008C2667">
              <w:rPr>
                <w:b/>
                <w:bCs/>
                <w:i/>
                <w:iCs/>
                <w:lang w:val="fr-CH"/>
              </w:rPr>
              <w:t>4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8C2667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6CC24A1B" w14:textId="77777777" w:rsidR="001E2BED" w:rsidRPr="004500A5" w:rsidRDefault="001E2BED" w:rsidP="00C02E58">
            <w:pPr>
              <w:rPr>
                <w:i/>
                <w:iCs/>
                <w:lang w:val="fr-CH"/>
              </w:rPr>
            </w:pPr>
            <w:r w:rsidRPr="004500A5">
              <w:rPr>
                <w:i/>
                <w:iCs/>
                <w:lang w:val="fr-CH"/>
              </w:rPr>
              <w:t xml:space="preserve">Pause déjeuneur </w:t>
            </w:r>
          </w:p>
          <w:p w14:paraId="74A1CED6" w14:textId="77777777" w:rsidR="001E2BED" w:rsidRPr="00C35928" w:rsidRDefault="001E2BED" w:rsidP="00C02E58">
            <w:pPr>
              <w:rPr>
                <w:lang w:val="fr-CH"/>
              </w:rPr>
            </w:pPr>
          </w:p>
        </w:tc>
      </w:tr>
      <w:tr w:rsidR="001E2BED" w:rsidRPr="009648AD" w14:paraId="1D205A2B" w14:textId="77777777" w:rsidTr="001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668471A8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 w:rsidRPr="00965C2E">
              <w:rPr>
                <w:b/>
                <w:bCs/>
                <w:i/>
                <w:iCs/>
                <w:lang w:val="fr-CH"/>
              </w:rPr>
              <w:t>1</w:t>
            </w:r>
            <w:r w:rsidR="007926E0">
              <w:rPr>
                <w:b/>
                <w:bCs/>
                <w:i/>
                <w:iCs/>
                <w:lang w:val="fr-CH"/>
              </w:rPr>
              <w:t>4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 w:rsidR="007926E0"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 – 1</w:t>
            </w:r>
            <w:r w:rsidR="007926E0">
              <w:rPr>
                <w:b/>
                <w:bCs/>
                <w:i/>
                <w:iCs/>
                <w:lang w:val="fr-CH"/>
              </w:rPr>
              <w:t>6</w:t>
            </w:r>
            <w:r w:rsidRPr="00965C2E">
              <w:rPr>
                <w:b/>
                <w:bCs/>
                <w:i/>
                <w:iCs/>
                <w:lang w:val="fr-CH"/>
              </w:rPr>
              <w:t>: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  <w:r w:rsidRPr="00965C2E">
              <w:rPr>
                <w:b/>
                <w:bCs/>
                <w:i/>
                <w:iCs/>
                <w:lang w:val="fr-CH"/>
              </w:rPr>
              <w:t>0</w:t>
            </w:r>
          </w:p>
        </w:tc>
        <w:tc>
          <w:tcPr>
            <w:tcW w:w="7089" w:type="dxa"/>
          </w:tcPr>
          <w:p w14:paraId="02092F26" w14:textId="77777777" w:rsidR="001E2BED" w:rsidRPr="00FB0BA8" w:rsidRDefault="007926E0" w:rsidP="00C02E58">
            <w:pPr>
              <w:rPr>
                <w:lang w:val="fr-CH"/>
              </w:rPr>
            </w:pPr>
            <w:r>
              <w:rPr>
                <w:lang w:val="fr-CH"/>
              </w:rPr>
              <w:t>Table ronde – présentation sur l'expérience</w:t>
            </w:r>
            <w:r w:rsidR="001E2BED" w:rsidRPr="00FB0BA8">
              <w:rPr>
                <w:lang w:val="fr-CH"/>
              </w:rPr>
              <w:t xml:space="preserve"> </w:t>
            </w:r>
            <w:r w:rsidR="001E2BED">
              <w:rPr>
                <w:lang w:val="fr-CH"/>
              </w:rPr>
              <w:t>nationale</w:t>
            </w:r>
            <w:r>
              <w:rPr>
                <w:lang w:val="fr-CH"/>
              </w:rPr>
              <w:t xml:space="preserve"> du Maroc </w:t>
            </w:r>
            <w:r w:rsidR="001E2BED" w:rsidRPr="00FB0BA8">
              <w:rPr>
                <w:lang w:val="fr-CH"/>
              </w:rPr>
              <w:t>sur les cadres réglementaires d</w:t>
            </w:r>
            <w:r w:rsidR="009177D8">
              <w:rPr>
                <w:lang w:val="fr-CH"/>
              </w:rPr>
              <w:t>ans différents secteurs</w:t>
            </w:r>
            <w:r w:rsidR="00B86B1E">
              <w:rPr>
                <w:lang w:val="fr-CH"/>
              </w:rPr>
              <w:t xml:space="preserve"> de</w:t>
            </w:r>
            <w:r w:rsidR="001E2BED" w:rsidRPr="00FB0BA8">
              <w:rPr>
                <w:lang w:val="fr-CH"/>
              </w:rPr>
              <w:t xml:space="preserve"> services </w:t>
            </w:r>
          </w:p>
          <w:p w14:paraId="3562749C" w14:textId="77777777" w:rsidR="001E2BED" w:rsidRPr="00E55289" w:rsidRDefault="001E2BED" w:rsidP="00C02E58">
            <w:pPr>
              <w:rPr>
                <w:lang w:val="fr-CH"/>
              </w:rPr>
            </w:pPr>
          </w:p>
        </w:tc>
      </w:tr>
      <w:tr w:rsidR="001E2BED" w:rsidRPr="0036320D" w14:paraId="3BC14F3D" w14:textId="77777777" w:rsidTr="001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545" w:type="dxa"/>
          </w:tcPr>
          <w:p w14:paraId="7D2FF7C3" w14:textId="77777777" w:rsidR="001E2BED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  <w:r>
              <w:rPr>
                <w:b/>
                <w:bCs/>
                <w:i/>
                <w:iCs/>
                <w:lang w:val="fr-CH"/>
              </w:rPr>
              <w:t>1</w:t>
            </w:r>
            <w:r w:rsidR="007926E0">
              <w:rPr>
                <w:b/>
                <w:bCs/>
                <w:i/>
                <w:iCs/>
                <w:lang w:val="fr-CH"/>
              </w:rPr>
              <w:t>6</w:t>
            </w:r>
            <w:r>
              <w:rPr>
                <w:b/>
                <w:bCs/>
                <w:i/>
                <w:iCs/>
                <w:lang w:val="fr-CH"/>
              </w:rPr>
              <w:t>:00 – 1</w:t>
            </w:r>
            <w:r w:rsidR="007926E0">
              <w:rPr>
                <w:b/>
                <w:bCs/>
                <w:i/>
                <w:iCs/>
                <w:lang w:val="fr-CH"/>
              </w:rPr>
              <w:t>6</w:t>
            </w:r>
            <w:r>
              <w:rPr>
                <w:b/>
                <w:bCs/>
                <w:i/>
                <w:iCs/>
                <w:lang w:val="fr-CH"/>
              </w:rPr>
              <w:t>:</w:t>
            </w:r>
            <w:r w:rsidR="007926E0">
              <w:rPr>
                <w:b/>
                <w:bCs/>
                <w:i/>
                <w:iCs/>
                <w:lang w:val="fr-CH"/>
              </w:rPr>
              <w:t>3</w:t>
            </w:r>
            <w:r>
              <w:rPr>
                <w:b/>
                <w:bCs/>
                <w:i/>
                <w:iCs/>
                <w:lang w:val="fr-CH"/>
              </w:rPr>
              <w:t>0</w:t>
            </w:r>
          </w:p>
          <w:p w14:paraId="3440F35E" w14:textId="77777777" w:rsidR="001E2BED" w:rsidRPr="00965C2E" w:rsidRDefault="001E2BED" w:rsidP="00C02E58">
            <w:pPr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089" w:type="dxa"/>
          </w:tcPr>
          <w:p w14:paraId="3AC53CFB" w14:textId="77777777" w:rsidR="001E2BED" w:rsidRPr="00FB0BA8" w:rsidRDefault="007926E0" w:rsidP="00C02E58">
            <w:pPr>
              <w:rPr>
                <w:lang w:val="fr-CH"/>
              </w:rPr>
            </w:pPr>
            <w:r>
              <w:rPr>
                <w:lang w:val="fr-CH"/>
              </w:rPr>
              <w:t>Clôture de l'atelier</w:t>
            </w:r>
          </w:p>
        </w:tc>
      </w:tr>
    </w:tbl>
    <w:p w14:paraId="020999C7" w14:textId="77777777" w:rsidR="00993CE4" w:rsidRPr="00E55289" w:rsidRDefault="00993CE4" w:rsidP="00E21DEF">
      <w:pPr>
        <w:pStyle w:val="Title"/>
        <w:tabs>
          <w:tab w:val="left" w:pos="972"/>
        </w:tabs>
        <w:jc w:val="both"/>
        <w:rPr>
          <w:szCs w:val="18"/>
          <w:lang w:val="fr-CH"/>
        </w:rPr>
      </w:pPr>
    </w:p>
    <w:sectPr w:rsidR="00993CE4" w:rsidRPr="00E55289" w:rsidSect="00D20A8D">
      <w:footerReference w:type="default" r:id="rId8"/>
      <w:pgSz w:w="11906" w:h="16838" w:code="9"/>
      <w:pgMar w:top="1440" w:right="1440" w:bottom="170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C971" w14:textId="77777777" w:rsidR="00E81BA5" w:rsidRDefault="00E81BA5" w:rsidP="00ED54E0">
      <w:r>
        <w:separator/>
      </w:r>
    </w:p>
  </w:endnote>
  <w:endnote w:type="continuationSeparator" w:id="0">
    <w:p w14:paraId="10419287" w14:textId="77777777" w:rsidR="00E81BA5" w:rsidRDefault="00E81BA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84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A95B7" w14:textId="77777777" w:rsidR="00AA7955" w:rsidRDefault="00AA7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F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E7B54" w14:textId="77777777" w:rsidR="00AA7955" w:rsidRDefault="00AA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06C3" w14:textId="77777777" w:rsidR="00E81BA5" w:rsidRDefault="00E81BA5" w:rsidP="00ED54E0">
      <w:r>
        <w:separator/>
      </w:r>
    </w:p>
  </w:footnote>
  <w:footnote w:type="continuationSeparator" w:id="0">
    <w:p w14:paraId="573CA8BF" w14:textId="77777777" w:rsidR="00E81BA5" w:rsidRDefault="00E81BA5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C39F0"/>
    <w:multiLevelType w:val="hybridMultilevel"/>
    <w:tmpl w:val="B810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25CA7"/>
    <w:multiLevelType w:val="hybridMultilevel"/>
    <w:tmpl w:val="6554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76BF"/>
    <w:multiLevelType w:val="hybridMultilevel"/>
    <w:tmpl w:val="A98A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708"/>
        </w:tabs>
        <w:ind w:left="70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7454AB1"/>
    <w:multiLevelType w:val="multilevel"/>
    <w:tmpl w:val="CC52177C"/>
    <w:numStyleLink w:val="LegalHeadings"/>
  </w:abstractNum>
  <w:abstractNum w:abstractNumId="17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8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14896"/>
    <w:multiLevelType w:val="hybridMultilevel"/>
    <w:tmpl w:val="7434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60202">
    <w:abstractNumId w:val="9"/>
  </w:num>
  <w:num w:numId="2" w16cid:durableId="602424948">
    <w:abstractNumId w:val="7"/>
  </w:num>
  <w:num w:numId="3" w16cid:durableId="802387217">
    <w:abstractNumId w:val="6"/>
  </w:num>
  <w:num w:numId="4" w16cid:durableId="1345088048">
    <w:abstractNumId w:val="5"/>
  </w:num>
  <w:num w:numId="5" w16cid:durableId="2095928664">
    <w:abstractNumId w:val="4"/>
  </w:num>
  <w:num w:numId="6" w16cid:durableId="1181243402">
    <w:abstractNumId w:val="17"/>
  </w:num>
  <w:num w:numId="7" w16cid:durableId="1074815230">
    <w:abstractNumId w:val="16"/>
  </w:num>
  <w:num w:numId="8" w16cid:durableId="1178083798">
    <w:abstractNumId w:val="15"/>
  </w:num>
  <w:num w:numId="9" w16cid:durableId="1275673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4293682">
    <w:abstractNumId w:val="18"/>
  </w:num>
  <w:num w:numId="11" w16cid:durableId="201947633">
    <w:abstractNumId w:val="8"/>
  </w:num>
  <w:num w:numId="12" w16cid:durableId="492572076">
    <w:abstractNumId w:val="3"/>
  </w:num>
  <w:num w:numId="13" w16cid:durableId="173964334">
    <w:abstractNumId w:val="2"/>
  </w:num>
  <w:num w:numId="14" w16cid:durableId="310211781">
    <w:abstractNumId w:val="1"/>
  </w:num>
  <w:num w:numId="15" w16cid:durableId="227112185">
    <w:abstractNumId w:val="0"/>
  </w:num>
  <w:num w:numId="16" w16cid:durableId="333531804">
    <w:abstractNumId w:val="10"/>
  </w:num>
  <w:num w:numId="17" w16cid:durableId="1193836518">
    <w:abstractNumId w:val="15"/>
  </w:num>
  <w:num w:numId="18" w16cid:durableId="1178496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869105">
    <w:abstractNumId w:val="14"/>
  </w:num>
  <w:num w:numId="20" w16cid:durableId="233007070">
    <w:abstractNumId w:val="11"/>
  </w:num>
  <w:num w:numId="21" w16cid:durableId="1869954407">
    <w:abstractNumId w:val="13"/>
  </w:num>
  <w:num w:numId="22" w16cid:durableId="1659074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E4"/>
    <w:rsid w:val="000076AA"/>
    <w:rsid w:val="000106E0"/>
    <w:rsid w:val="00010886"/>
    <w:rsid w:val="000111BB"/>
    <w:rsid w:val="0001529D"/>
    <w:rsid w:val="00022B5A"/>
    <w:rsid w:val="00022C0F"/>
    <w:rsid w:val="000272F6"/>
    <w:rsid w:val="000330F8"/>
    <w:rsid w:val="00037AC4"/>
    <w:rsid w:val="000423BF"/>
    <w:rsid w:val="00045D95"/>
    <w:rsid w:val="00066F23"/>
    <w:rsid w:val="00072259"/>
    <w:rsid w:val="000746FA"/>
    <w:rsid w:val="00085074"/>
    <w:rsid w:val="00086192"/>
    <w:rsid w:val="00093A89"/>
    <w:rsid w:val="00095CFE"/>
    <w:rsid w:val="000A0C4A"/>
    <w:rsid w:val="000A4945"/>
    <w:rsid w:val="000B31E1"/>
    <w:rsid w:val="000B612D"/>
    <w:rsid w:val="000D0FBA"/>
    <w:rsid w:val="000E02A3"/>
    <w:rsid w:val="00100E9A"/>
    <w:rsid w:val="0011356B"/>
    <w:rsid w:val="00117A7A"/>
    <w:rsid w:val="0013337F"/>
    <w:rsid w:val="001411D5"/>
    <w:rsid w:val="001453CD"/>
    <w:rsid w:val="00161E30"/>
    <w:rsid w:val="001664B0"/>
    <w:rsid w:val="00176D9A"/>
    <w:rsid w:val="00182A75"/>
    <w:rsid w:val="00182B84"/>
    <w:rsid w:val="001946F2"/>
    <w:rsid w:val="001A42FB"/>
    <w:rsid w:val="001B42A5"/>
    <w:rsid w:val="001B5C42"/>
    <w:rsid w:val="001C18DC"/>
    <w:rsid w:val="001D0F5C"/>
    <w:rsid w:val="001D5B31"/>
    <w:rsid w:val="001E291F"/>
    <w:rsid w:val="001E2BED"/>
    <w:rsid w:val="001E3106"/>
    <w:rsid w:val="001F3BDD"/>
    <w:rsid w:val="00233408"/>
    <w:rsid w:val="002341A4"/>
    <w:rsid w:val="002370D7"/>
    <w:rsid w:val="00237417"/>
    <w:rsid w:val="0025286E"/>
    <w:rsid w:val="00267C28"/>
    <w:rsid w:val="0027067B"/>
    <w:rsid w:val="0028286A"/>
    <w:rsid w:val="002871BA"/>
    <w:rsid w:val="00292697"/>
    <w:rsid w:val="00292D7D"/>
    <w:rsid w:val="00293CE2"/>
    <w:rsid w:val="002A15FB"/>
    <w:rsid w:val="002A2596"/>
    <w:rsid w:val="002A25C8"/>
    <w:rsid w:val="002A6940"/>
    <w:rsid w:val="002D5814"/>
    <w:rsid w:val="002E249B"/>
    <w:rsid w:val="00304385"/>
    <w:rsid w:val="00311BE2"/>
    <w:rsid w:val="00320249"/>
    <w:rsid w:val="00320C00"/>
    <w:rsid w:val="00340682"/>
    <w:rsid w:val="00340EAD"/>
    <w:rsid w:val="00347BDA"/>
    <w:rsid w:val="003572B4"/>
    <w:rsid w:val="00360378"/>
    <w:rsid w:val="003616BF"/>
    <w:rsid w:val="0036320D"/>
    <w:rsid w:val="00371F2B"/>
    <w:rsid w:val="00383F10"/>
    <w:rsid w:val="003C2843"/>
    <w:rsid w:val="003D0066"/>
    <w:rsid w:val="003F1792"/>
    <w:rsid w:val="00433374"/>
    <w:rsid w:val="004337D3"/>
    <w:rsid w:val="00445A4B"/>
    <w:rsid w:val="004500A5"/>
    <w:rsid w:val="00454CCF"/>
    <w:rsid w:val="004551EC"/>
    <w:rsid w:val="0046253C"/>
    <w:rsid w:val="00467032"/>
    <w:rsid w:val="004674AB"/>
    <w:rsid w:val="0046754A"/>
    <w:rsid w:val="00484B19"/>
    <w:rsid w:val="00491CBB"/>
    <w:rsid w:val="004A2D01"/>
    <w:rsid w:val="004A31FF"/>
    <w:rsid w:val="004A3431"/>
    <w:rsid w:val="004A70AA"/>
    <w:rsid w:val="004B755E"/>
    <w:rsid w:val="004F203A"/>
    <w:rsid w:val="00512FF5"/>
    <w:rsid w:val="00531282"/>
    <w:rsid w:val="005336B8"/>
    <w:rsid w:val="005551DD"/>
    <w:rsid w:val="00557884"/>
    <w:rsid w:val="005606C4"/>
    <w:rsid w:val="00562D62"/>
    <w:rsid w:val="005917B1"/>
    <w:rsid w:val="005A4CDD"/>
    <w:rsid w:val="005B04B9"/>
    <w:rsid w:val="005B68C7"/>
    <w:rsid w:val="005B7054"/>
    <w:rsid w:val="005C13E3"/>
    <w:rsid w:val="005D0152"/>
    <w:rsid w:val="005D5981"/>
    <w:rsid w:val="005D6D94"/>
    <w:rsid w:val="005E1686"/>
    <w:rsid w:val="005E7B74"/>
    <w:rsid w:val="005F30CB"/>
    <w:rsid w:val="00600814"/>
    <w:rsid w:val="00611D68"/>
    <w:rsid w:val="00612644"/>
    <w:rsid w:val="006373A1"/>
    <w:rsid w:val="0065015A"/>
    <w:rsid w:val="006519E3"/>
    <w:rsid w:val="00654B0B"/>
    <w:rsid w:val="00664528"/>
    <w:rsid w:val="00674CCD"/>
    <w:rsid w:val="006767E6"/>
    <w:rsid w:val="00685FE1"/>
    <w:rsid w:val="006A18DC"/>
    <w:rsid w:val="006A5074"/>
    <w:rsid w:val="006B075C"/>
    <w:rsid w:val="006B0D45"/>
    <w:rsid w:val="006C5A41"/>
    <w:rsid w:val="006D135E"/>
    <w:rsid w:val="006D6742"/>
    <w:rsid w:val="006E3654"/>
    <w:rsid w:val="006E60C1"/>
    <w:rsid w:val="006E620B"/>
    <w:rsid w:val="006E6734"/>
    <w:rsid w:val="006F5826"/>
    <w:rsid w:val="00700181"/>
    <w:rsid w:val="007031A6"/>
    <w:rsid w:val="00704E39"/>
    <w:rsid w:val="007141CF"/>
    <w:rsid w:val="00730ED6"/>
    <w:rsid w:val="00744542"/>
    <w:rsid w:val="00745146"/>
    <w:rsid w:val="0074635B"/>
    <w:rsid w:val="00752C42"/>
    <w:rsid w:val="007577E3"/>
    <w:rsid w:val="00760DB3"/>
    <w:rsid w:val="00767204"/>
    <w:rsid w:val="00772983"/>
    <w:rsid w:val="007926E0"/>
    <w:rsid w:val="0079332A"/>
    <w:rsid w:val="007C3936"/>
    <w:rsid w:val="007C79F0"/>
    <w:rsid w:val="007E4618"/>
    <w:rsid w:val="007E6507"/>
    <w:rsid w:val="007F2B8E"/>
    <w:rsid w:val="007F2DB0"/>
    <w:rsid w:val="00801CBB"/>
    <w:rsid w:val="00807247"/>
    <w:rsid w:val="00820FAB"/>
    <w:rsid w:val="00824B6E"/>
    <w:rsid w:val="00840C2B"/>
    <w:rsid w:val="00850889"/>
    <w:rsid w:val="008739FD"/>
    <w:rsid w:val="00880793"/>
    <w:rsid w:val="008A025F"/>
    <w:rsid w:val="008A523B"/>
    <w:rsid w:val="008A7BB6"/>
    <w:rsid w:val="008B3FBA"/>
    <w:rsid w:val="008C2667"/>
    <w:rsid w:val="008C42C8"/>
    <w:rsid w:val="008C77E8"/>
    <w:rsid w:val="008D5CE0"/>
    <w:rsid w:val="008E10B2"/>
    <w:rsid w:val="008E372C"/>
    <w:rsid w:val="009177D8"/>
    <w:rsid w:val="00920FD4"/>
    <w:rsid w:val="00947C09"/>
    <w:rsid w:val="009648AD"/>
    <w:rsid w:val="00965C2E"/>
    <w:rsid w:val="00976FAE"/>
    <w:rsid w:val="0099376F"/>
    <w:rsid w:val="00993CE4"/>
    <w:rsid w:val="009A6F54"/>
    <w:rsid w:val="009A73AC"/>
    <w:rsid w:val="009A7E67"/>
    <w:rsid w:val="009A7EED"/>
    <w:rsid w:val="009B015D"/>
    <w:rsid w:val="009B0823"/>
    <w:rsid w:val="009C2FA8"/>
    <w:rsid w:val="009E0EDE"/>
    <w:rsid w:val="00A32C78"/>
    <w:rsid w:val="00A34EEA"/>
    <w:rsid w:val="00A40151"/>
    <w:rsid w:val="00A53DCE"/>
    <w:rsid w:val="00A5538D"/>
    <w:rsid w:val="00A6057A"/>
    <w:rsid w:val="00A63124"/>
    <w:rsid w:val="00A64E88"/>
    <w:rsid w:val="00A6621E"/>
    <w:rsid w:val="00A6787A"/>
    <w:rsid w:val="00A74017"/>
    <w:rsid w:val="00A879D1"/>
    <w:rsid w:val="00A97A1E"/>
    <w:rsid w:val="00AA332C"/>
    <w:rsid w:val="00AA4E7B"/>
    <w:rsid w:val="00AA7955"/>
    <w:rsid w:val="00AB291F"/>
    <w:rsid w:val="00AB45B4"/>
    <w:rsid w:val="00AC0806"/>
    <w:rsid w:val="00AC24C7"/>
    <w:rsid w:val="00AC27F8"/>
    <w:rsid w:val="00AD00F6"/>
    <w:rsid w:val="00AD4C72"/>
    <w:rsid w:val="00AE20ED"/>
    <w:rsid w:val="00AE2AEE"/>
    <w:rsid w:val="00AF13FC"/>
    <w:rsid w:val="00B12AA0"/>
    <w:rsid w:val="00B1394B"/>
    <w:rsid w:val="00B14626"/>
    <w:rsid w:val="00B22AE7"/>
    <w:rsid w:val="00B230EC"/>
    <w:rsid w:val="00B415B8"/>
    <w:rsid w:val="00B50DC4"/>
    <w:rsid w:val="00B56EDC"/>
    <w:rsid w:val="00B60263"/>
    <w:rsid w:val="00B64F40"/>
    <w:rsid w:val="00B67C16"/>
    <w:rsid w:val="00B70EF2"/>
    <w:rsid w:val="00B74467"/>
    <w:rsid w:val="00B757A7"/>
    <w:rsid w:val="00B86B1E"/>
    <w:rsid w:val="00BA60C7"/>
    <w:rsid w:val="00BB0E40"/>
    <w:rsid w:val="00BB1F84"/>
    <w:rsid w:val="00BC433F"/>
    <w:rsid w:val="00BE5468"/>
    <w:rsid w:val="00C10163"/>
    <w:rsid w:val="00C11EAC"/>
    <w:rsid w:val="00C305D7"/>
    <w:rsid w:val="00C30F2A"/>
    <w:rsid w:val="00C333D2"/>
    <w:rsid w:val="00C35928"/>
    <w:rsid w:val="00C43456"/>
    <w:rsid w:val="00C64D9E"/>
    <w:rsid w:val="00C65C0C"/>
    <w:rsid w:val="00C733F8"/>
    <w:rsid w:val="00C7441C"/>
    <w:rsid w:val="00C808FC"/>
    <w:rsid w:val="00CA27B6"/>
    <w:rsid w:val="00CA5043"/>
    <w:rsid w:val="00CA63E1"/>
    <w:rsid w:val="00CA6754"/>
    <w:rsid w:val="00CC5DCA"/>
    <w:rsid w:val="00CD371E"/>
    <w:rsid w:val="00CD4009"/>
    <w:rsid w:val="00CD7D97"/>
    <w:rsid w:val="00CE1ECB"/>
    <w:rsid w:val="00CE3EE6"/>
    <w:rsid w:val="00CE4BA1"/>
    <w:rsid w:val="00CF7BDB"/>
    <w:rsid w:val="00D000C7"/>
    <w:rsid w:val="00D06B8F"/>
    <w:rsid w:val="00D20A8D"/>
    <w:rsid w:val="00D44F6B"/>
    <w:rsid w:val="00D525D5"/>
    <w:rsid w:val="00D52A9D"/>
    <w:rsid w:val="00D55AAD"/>
    <w:rsid w:val="00D5779C"/>
    <w:rsid w:val="00D7389C"/>
    <w:rsid w:val="00D747AE"/>
    <w:rsid w:val="00D7714F"/>
    <w:rsid w:val="00D773BE"/>
    <w:rsid w:val="00D9226C"/>
    <w:rsid w:val="00DA20BD"/>
    <w:rsid w:val="00DC3661"/>
    <w:rsid w:val="00DD36A2"/>
    <w:rsid w:val="00DE50DB"/>
    <w:rsid w:val="00DF6AE1"/>
    <w:rsid w:val="00E02D1C"/>
    <w:rsid w:val="00E21DEF"/>
    <w:rsid w:val="00E25B35"/>
    <w:rsid w:val="00E30DEB"/>
    <w:rsid w:val="00E46FD5"/>
    <w:rsid w:val="00E544BB"/>
    <w:rsid w:val="00E54E85"/>
    <w:rsid w:val="00E55289"/>
    <w:rsid w:val="00E56545"/>
    <w:rsid w:val="00E617BF"/>
    <w:rsid w:val="00E81BA5"/>
    <w:rsid w:val="00E85004"/>
    <w:rsid w:val="00EA2B8D"/>
    <w:rsid w:val="00EA5D4F"/>
    <w:rsid w:val="00EB6076"/>
    <w:rsid w:val="00EB6C56"/>
    <w:rsid w:val="00EB6F21"/>
    <w:rsid w:val="00ED2B6B"/>
    <w:rsid w:val="00ED54E0"/>
    <w:rsid w:val="00F01C13"/>
    <w:rsid w:val="00F06E1F"/>
    <w:rsid w:val="00F10F16"/>
    <w:rsid w:val="00F115A1"/>
    <w:rsid w:val="00F14697"/>
    <w:rsid w:val="00F15D7C"/>
    <w:rsid w:val="00F32397"/>
    <w:rsid w:val="00F40595"/>
    <w:rsid w:val="00F628EE"/>
    <w:rsid w:val="00FA3A80"/>
    <w:rsid w:val="00FA5EBC"/>
    <w:rsid w:val="00FB0BA8"/>
    <w:rsid w:val="00FC31A6"/>
    <w:rsid w:val="00FD224A"/>
    <w:rsid w:val="00FD6CF3"/>
    <w:rsid w:val="00FD79BF"/>
    <w:rsid w:val="00FE4BA2"/>
    <w:rsid w:val="00FF3DFC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1E691"/>
  <w15:chartTrackingRefBased/>
  <w15:docId w15:val="{3050D2ED-4BB6-4933-B187-2F91C53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8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08"/>
        <w:tab w:val="left" w:pos="1701"/>
      </w:tabs>
      <w:spacing w:after="240"/>
      <w:ind w:left="1701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4A2D01"/>
    <w:pPr>
      <w:spacing w:after="0" w:line="240" w:lineRule="auto"/>
    </w:pPr>
    <w:rPr>
      <w:rFonts w:ascii="Verdana" w:hAnsi="Verdana"/>
      <w:sz w:val="18"/>
    </w:rPr>
  </w:style>
  <w:style w:type="table" w:styleId="GridTable5Dark-Accent1">
    <w:name w:val="Grid Table 5 Dark Accent 1"/>
    <w:basedOn w:val="TableNormal"/>
    <w:uiPriority w:val="50"/>
    <w:rsid w:val="00A64E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A64E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4E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8BE3-58B8-4093-8103-C8D09750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Pelaez, Armando Enrique</dc:creator>
  <cp:keywords/>
  <dc:description/>
  <cp:lastModifiedBy>Bertola, Elena</cp:lastModifiedBy>
  <cp:revision>10</cp:revision>
  <cp:lastPrinted>2024-09-27T12:07:00Z</cp:lastPrinted>
  <dcterms:created xsi:type="dcterms:W3CDTF">2024-11-19T12:20:00Z</dcterms:created>
  <dcterms:modified xsi:type="dcterms:W3CDTF">2024-12-02T09:43:00Z</dcterms:modified>
</cp:coreProperties>
</file>