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321" w14:textId="77777777" w:rsidR="0062227D" w:rsidRDefault="0062227D" w:rsidP="0062227D">
      <w:pPr>
        <w:pStyle w:val="Title"/>
        <w:rPr>
          <w:lang w:val="fr-FR"/>
        </w:rPr>
      </w:pPr>
      <w:r w:rsidRPr="00874DC5">
        <w:rPr>
          <w:lang w:val="fr-FR"/>
        </w:rPr>
        <w:t xml:space="preserve">assistance </w:t>
      </w:r>
      <w:r>
        <w:rPr>
          <w:lang w:val="fr-FR"/>
        </w:rPr>
        <w:t xml:space="preserve">TEChnique pour le Maroc – Novembre </w:t>
      </w:r>
      <w:r w:rsidRPr="00874DC5">
        <w:rPr>
          <w:lang w:val="fr-FR"/>
        </w:rPr>
        <w:t>2022</w:t>
      </w:r>
    </w:p>
    <w:p w14:paraId="0038665C" w14:textId="77777777" w:rsidR="0062227D" w:rsidRPr="00874DC5" w:rsidRDefault="0062227D" w:rsidP="0062227D">
      <w:pPr>
        <w:pStyle w:val="Title2"/>
        <w:rPr>
          <w:lang w:val="fr-FR"/>
        </w:rPr>
      </w:pPr>
      <w:r>
        <w:rPr>
          <w:lang w:val="fr-FR"/>
        </w:rPr>
        <w:t xml:space="preserve">Atelier sur l'Omc, le commerce electronique ET le commerce </w:t>
      </w:r>
      <w:r w:rsidRPr="00384612">
        <w:rPr>
          <w:lang w:val="fr-FR"/>
        </w:rPr>
        <w:t>des services</w:t>
      </w:r>
    </w:p>
    <w:p w14:paraId="0EBB81D6" w14:textId="77777777" w:rsidR="0062227D" w:rsidRPr="00D62343" w:rsidRDefault="0062227D" w:rsidP="0062227D">
      <w:pPr>
        <w:pStyle w:val="Title3"/>
        <w:rPr>
          <w:lang w:val="fr-FR"/>
        </w:rPr>
      </w:pPr>
      <w:r w:rsidRPr="00874DC5">
        <w:rPr>
          <w:lang w:val="fr-FR"/>
        </w:rPr>
        <w:t>Programme</w:t>
      </w:r>
    </w:p>
    <w:p w14:paraId="4A709AE0" w14:textId="77777777" w:rsidR="0062227D" w:rsidRPr="00362282" w:rsidRDefault="0062227D" w:rsidP="0062227D">
      <w:pPr>
        <w:rPr>
          <w:sz w:val="20"/>
          <w:szCs w:val="20"/>
          <w:u w:val="single"/>
          <w:lang w:val="fr-FR" w:eastAsia="en-GB"/>
        </w:rPr>
      </w:pPr>
      <w:r w:rsidRPr="00362282">
        <w:rPr>
          <w:sz w:val="20"/>
          <w:szCs w:val="20"/>
          <w:u w:val="single"/>
          <w:lang w:val="fr-FR" w:eastAsia="en-GB"/>
        </w:rPr>
        <w:t xml:space="preserve">Objectifs : </w:t>
      </w:r>
    </w:p>
    <w:p w14:paraId="5CF26B0E" w14:textId="77777777" w:rsidR="0062227D" w:rsidRPr="00362282" w:rsidRDefault="0062227D" w:rsidP="0062227D">
      <w:pPr>
        <w:rPr>
          <w:sz w:val="20"/>
          <w:szCs w:val="20"/>
          <w:u w:val="single"/>
          <w:lang w:val="fr-FR" w:eastAsia="en-GB"/>
        </w:rPr>
      </w:pPr>
    </w:p>
    <w:p w14:paraId="5B01E8C7" w14:textId="77777777" w:rsidR="0062227D" w:rsidRPr="005C3C11" w:rsidRDefault="0062227D" w:rsidP="0062227D">
      <w:pPr>
        <w:pStyle w:val="ListParagraph"/>
        <w:numPr>
          <w:ilvl w:val="0"/>
          <w:numId w:val="19"/>
        </w:numPr>
        <w:rPr>
          <w:sz w:val="20"/>
          <w:szCs w:val="20"/>
          <w:lang w:val="fr-FR" w:eastAsia="en-GB"/>
        </w:rPr>
      </w:pPr>
      <w:r w:rsidRPr="00362282">
        <w:rPr>
          <w:sz w:val="20"/>
          <w:szCs w:val="20"/>
          <w:lang w:val="fr-FR" w:eastAsia="en-GB"/>
        </w:rPr>
        <w:t xml:space="preserve">Les participants bénéficieront d'un aperçu des différents enjeux liés au commerce électronique, notamment </w:t>
      </w:r>
      <w:r>
        <w:rPr>
          <w:sz w:val="20"/>
          <w:szCs w:val="20"/>
          <w:lang w:val="fr-FR" w:eastAsia="en-GB"/>
        </w:rPr>
        <w:t xml:space="preserve">concernant </w:t>
      </w:r>
      <w:r w:rsidRPr="00362282">
        <w:rPr>
          <w:sz w:val="20"/>
          <w:szCs w:val="20"/>
          <w:lang w:val="fr-FR" w:eastAsia="en-GB"/>
        </w:rPr>
        <w:t>les enjeux commerciaux, internationaux, développementaux, et stratégiques.</w:t>
      </w:r>
      <w:r>
        <w:rPr>
          <w:sz w:val="20"/>
          <w:szCs w:val="20"/>
          <w:lang w:val="fr-FR" w:eastAsia="en-GB"/>
        </w:rPr>
        <w:t xml:space="preserve"> Ils </w:t>
      </w:r>
      <w:r w:rsidRPr="005C3C11">
        <w:rPr>
          <w:sz w:val="20"/>
          <w:szCs w:val="20"/>
          <w:lang w:val="fr-FR" w:eastAsia="en-GB"/>
        </w:rPr>
        <w:t>pourront développer leurs connaissances sur le rôle de l'OMC, ainsi que celui d'autres institutions pertinentes, dans le cadre de la règlementation du commerce électronique.</w:t>
      </w:r>
    </w:p>
    <w:p w14:paraId="734BFB53" w14:textId="77777777" w:rsidR="0062227D" w:rsidRPr="00362282" w:rsidRDefault="0062227D" w:rsidP="0062227D">
      <w:pPr>
        <w:pStyle w:val="ListParagraph"/>
        <w:rPr>
          <w:sz w:val="20"/>
          <w:szCs w:val="20"/>
          <w:lang w:val="fr-FR" w:eastAsia="en-GB"/>
        </w:rPr>
      </w:pPr>
    </w:p>
    <w:p w14:paraId="44F5819C" w14:textId="1BC04C53" w:rsidR="0062227D" w:rsidRDefault="0062227D" w:rsidP="0062227D">
      <w:pPr>
        <w:pStyle w:val="ListParagraph"/>
        <w:numPr>
          <w:ilvl w:val="0"/>
          <w:numId w:val="19"/>
        </w:numPr>
        <w:rPr>
          <w:sz w:val="20"/>
          <w:szCs w:val="20"/>
          <w:lang w:val="fr-FR" w:eastAsia="en-GB"/>
        </w:rPr>
      </w:pPr>
      <w:r w:rsidRPr="00362282">
        <w:rPr>
          <w:sz w:val="20"/>
          <w:szCs w:val="20"/>
          <w:lang w:val="fr-FR" w:eastAsia="en-GB"/>
        </w:rPr>
        <w:t xml:space="preserve">Les participants connaitront l'état des discussions au sein du programme de travail sur le commerce électronique </w:t>
      </w:r>
      <w:r>
        <w:rPr>
          <w:sz w:val="20"/>
          <w:szCs w:val="20"/>
          <w:lang w:val="fr-FR" w:eastAsia="en-GB"/>
        </w:rPr>
        <w:t>ainsi que sur</w:t>
      </w:r>
      <w:r w:rsidRPr="00362282">
        <w:rPr>
          <w:sz w:val="20"/>
          <w:szCs w:val="20"/>
          <w:lang w:val="fr-FR" w:eastAsia="en-GB"/>
        </w:rPr>
        <w:t xml:space="preserve"> le moratoire </w:t>
      </w:r>
      <w:r>
        <w:rPr>
          <w:sz w:val="20"/>
          <w:szCs w:val="20"/>
          <w:lang w:val="fr-FR" w:eastAsia="en-GB"/>
        </w:rPr>
        <w:t>concernant</w:t>
      </w:r>
      <w:r w:rsidRPr="00362282">
        <w:rPr>
          <w:sz w:val="20"/>
          <w:szCs w:val="20"/>
          <w:lang w:val="fr-FR" w:eastAsia="en-GB"/>
        </w:rPr>
        <w:t xml:space="preserve"> les droits de douanes sur les transmission</w:t>
      </w:r>
      <w:r>
        <w:rPr>
          <w:sz w:val="20"/>
          <w:szCs w:val="20"/>
          <w:lang w:val="fr-FR" w:eastAsia="en-GB"/>
        </w:rPr>
        <w:t>s</w:t>
      </w:r>
      <w:r w:rsidRPr="00362282">
        <w:rPr>
          <w:sz w:val="20"/>
          <w:szCs w:val="20"/>
          <w:lang w:val="fr-FR" w:eastAsia="en-GB"/>
        </w:rPr>
        <w:t xml:space="preserve"> électroniques </w:t>
      </w:r>
      <w:r>
        <w:rPr>
          <w:sz w:val="20"/>
          <w:szCs w:val="20"/>
          <w:lang w:val="fr-FR" w:eastAsia="en-GB"/>
        </w:rPr>
        <w:t>(le "moratoire").</w:t>
      </w:r>
      <w:r w:rsidR="00F92E10">
        <w:rPr>
          <w:sz w:val="20"/>
          <w:szCs w:val="20"/>
          <w:lang w:val="fr-FR" w:eastAsia="en-GB"/>
        </w:rPr>
        <w:t xml:space="preserve"> </w:t>
      </w:r>
      <w:r>
        <w:rPr>
          <w:sz w:val="20"/>
          <w:szCs w:val="20"/>
          <w:lang w:val="fr-FR" w:eastAsia="en-GB"/>
        </w:rPr>
        <w:t>Au sujet du moratoire, ils auront l'occasion d'en apprendre plus au sujet des débats concernant sa portée et de son impact tout en ayant la possibilité d'échanger et de partager leur expérience.</w:t>
      </w:r>
    </w:p>
    <w:p w14:paraId="197A0B3A" w14:textId="77777777" w:rsidR="0062227D" w:rsidRDefault="0062227D" w:rsidP="0062227D">
      <w:pPr>
        <w:pStyle w:val="ListParagraph"/>
        <w:rPr>
          <w:sz w:val="20"/>
          <w:szCs w:val="20"/>
          <w:lang w:val="fr-FR" w:eastAsia="en-GB"/>
        </w:rPr>
      </w:pPr>
    </w:p>
    <w:p w14:paraId="7A0D6378" w14:textId="3E4A866B" w:rsidR="0062227D" w:rsidRDefault="00F92E10" w:rsidP="0062227D">
      <w:pPr>
        <w:pStyle w:val="ListParagraph"/>
        <w:numPr>
          <w:ilvl w:val="0"/>
          <w:numId w:val="19"/>
        </w:numPr>
        <w:rPr>
          <w:sz w:val="20"/>
          <w:szCs w:val="20"/>
          <w:lang w:val="fr-FR" w:eastAsia="en-GB"/>
        </w:rPr>
      </w:pPr>
      <w:r>
        <w:rPr>
          <w:sz w:val="20"/>
          <w:szCs w:val="20"/>
          <w:lang w:val="fr-FR" w:eastAsia="en-GB"/>
        </w:rPr>
        <w:t>Les participants pourront développer leurs connaissances sur les sujets discutés au sein de l'Initiative conjointe sur le commerce électronique qui, d</w:t>
      </w:r>
      <w:r w:rsidR="0062227D">
        <w:rPr>
          <w:sz w:val="20"/>
          <w:szCs w:val="20"/>
          <w:lang w:val="fr-FR" w:eastAsia="en-GB"/>
        </w:rPr>
        <w:t xml:space="preserve">epuis </w:t>
      </w:r>
      <w:r>
        <w:rPr>
          <w:sz w:val="20"/>
          <w:szCs w:val="20"/>
          <w:lang w:val="fr-FR" w:eastAsia="en-GB"/>
        </w:rPr>
        <w:t>son</w:t>
      </w:r>
      <w:r w:rsidR="0062227D">
        <w:rPr>
          <w:sz w:val="20"/>
          <w:szCs w:val="20"/>
          <w:lang w:val="fr-FR" w:eastAsia="en-GB"/>
        </w:rPr>
        <w:t xml:space="preserve"> lancement en 2017, </w:t>
      </w:r>
      <w:r>
        <w:rPr>
          <w:sz w:val="20"/>
          <w:szCs w:val="20"/>
          <w:lang w:val="fr-FR" w:eastAsia="en-GB"/>
        </w:rPr>
        <w:t>a</w:t>
      </w:r>
      <w:r w:rsidR="0062227D">
        <w:rPr>
          <w:sz w:val="20"/>
          <w:szCs w:val="20"/>
          <w:lang w:val="fr-FR" w:eastAsia="en-GB"/>
        </w:rPr>
        <w:t xml:space="preserve"> rassemblé 87 Membres de l'OMC. </w:t>
      </w:r>
    </w:p>
    <w:p w14:paraId="6EADE3A8" w14:textId="77777777" w:rsidR="0062227D" w:rsidRDefault="0062227D" w:rsidP="0062227D">
      <w:pPr>
        <w:pStyle w:val="ListParagraph"/>
        <w:rPr>
          <w:sz w:val="20"/>
          <w:szCs w:val="20"/>
          <w:lang w:val="fr-FR" w:eastAsia="en-GB"/>
        </w:rPr>
      </w:pPr>
    </w:p>
    <w:p w14:paraId="2003A7FB" w14:textId="77777777" w:rsidR="0062227D" w:rsidRDefault="0062227D" w:rsidP="0062227D">
      <w:pPr>
        <w:pStyle w:val="ListParagraph"/>
        <w:numPr>
          <w:ilvl w:val="0"/>
          <w:numId w:val="19"/>
        </w:numPr>
        <w:rPr>
          <w:sz w:val="20"/>
          <w:szCs w:val="20"/>
          <w:lang w:val="fr-FR" w:eastAsia="en-GB"/>
        </w:rPr>
      </w:pPr>
      <w:r>
        <w:rPr>
          <w:sz w:val="20"/>
          <w:szCs w:val="20"/>
          <w:lang w:val="fr-FR" w:eastAsia="en-GB"/>
        </w:rPr>
        <w:t>L</w:t>
      </w:r>
      <w:r w:rsidRPr="00C46A42">
        <w:rPr>
          <w:sz w:val="20"/>
          <w:szCs w:val="20"/>
          <w:lang w:val="fr-FR" w:eastAsia="en-GB"/>
        </w:rPr>
        <w:t xml:space="preserve">es participants approfondiront leur connaissance des obligations réglementaires contenues dans l'AGCS, notamment par </w:t>
      </w:r>
      <w:r>
        <w:rPr>
          <w:sz w:val="20"/>
          <w:szCs w:val="20"/>
          <w:lang w:val="fr-FR" w:eastAsia="en-GB"/>
        </w:rPr>
        <w:t xml:space="preserve">l'application dans </w:t>
      </w:r>
      <w:r w:rsidRPr="00C46A42">
        <w:rPr>
          <w:sz w:val="20"/>
          <w:szCs w:val="20"/>
          <w:lang w:val="fr-FR" w:eastAsia="en-GB"/>
        </w:rPr>
        <w:t>des exercices pratiques et des études de cas</w:t>
      </w:r>
      <w:r>
        <w:rPr>
          <w:sz w:val="20"/>
          <w:szCs w:val="20"/>
          <w:lang w:val="fr-FR" w:eastAsia="en-GB"/>
        </w:rPr>
        <w:t xml:space="preserve">. </w:t>
      </w:r>
    </w:p>
    <w:p w14:paraId="47501D14" w14:textId="77777777" w:rsidR="0062227D" w:rsidRPr="00C46A42" w:rsidRDefault="0062227D" w:rsidP="0062227D">
      <w:pPr>
        <w:pStyle w:val="ListParagraph"/>
        <w:rPr>
          <w:sz w:val="20"/>
          <w:szCs w:val="20"/>
          <w:lang w:val="fr-FR" w:eastAsia="en-GB"/>
        </w:rPr>
      </w:pPr>
    </w:p>
    <w:p w14:paraId="67785A63" w14:textId="77777777" w:rsidR="0062227D" w:rsidRDefault="0062227D" w:rsidP="0062227D">
      <w:pPr>
        <w:pStyle w:val="ListParagraph"/>
        <w:numPr>
          <w:ilvl w:val="0"/>
          <w:numId w:val="19"/>
        </w:numPr>
        <w:rPr>
          <w:sz w:val="20"/>
          <w:szCs w:val="20"/>
          <w:lang w:val="fr-FR" w:eastAsia="en-GB"/>
        </w:rPr>
      </w:pPr>
      <w:r w:rsidRPr="00C46A42">
        <w:rPr>
          <w:sz w:val="20"/>
          <w:szCs w:val="20"/>
          <w:lang w:val="fr-FR" w:eastAsia="en-GB"/>
        </w:rPr>
        <w:t xml:space="preserve">Les participants développeront leur compréhension des résultats obtenus par l'Initiative conjointe sur la réglementation intérieure </w:t>
      </w:r>
      <w:r>
        <w:rPr>
          <w:sz w:val="20"/>
          <w:szCs w:val="20"/>
          <w:lang w:val="fr-FR" w:eastAsia="en-GB"/>
        </w:rPr>
        <w:t>dans le domaine des</w:t>
      </w:r>
      <w:r w:rsidRPr="00C46A42">
        <w:rPr>
          <w:sz w:val="20"/>
          <w:szCs w:val="20"/>
          <w:lang w:val="fr-FR" w:eastAsia="en-GB"/>
        </w:rPr>
        <w:t xml:space="preserve"> services, notamment ses objectifs, ses principales caractéristiques et modalité</w:t>
      </w:r>
      <w:r>
        <w:rPr>
          <w:sz w:val="20"/>
          <w:szCs w:val="20"/>
          <w:lang w:val="fr-FR" w:eastAsia="en-GB"/>
        </w:rPr>
        <w:t xml:space="preserve"> </w:t>
      </w:r>
      <w:r w:rsidRPr="00C46A42">
        <w:rPr>
          <w:sz w:val="20"/>
          <w:szCs w:val="20"/>
          <w:lang w:val="fr-FR" w:eastAsia="en-GB"/>
        </w:rPr>
        <w:t>d'entrée en vigueur.</w:t>
      </w:r>
    </w:p>
    <w:p w14:paraId="0F3064CE" w14:textId="77777777" w:rsidR="0062227D" w:rsidRPr="00C46A42" w:rsidRDefault="0062227D" w:rsidP="0062227D">
      <w:pPr>
        <w:pStyle w:val="ListParagraph"/>
        <w:rPr>
          <w:sz w:val="20"/>
          <w:szCs w:val="20"/>
          <w:lang w:val="fr-FR" w:eastAsia="en-GB"/>
        </w:rPr>
      </w:pPr>
    </w:p>
    <w:p w14:paraId="4E97E856" w14:textId="511ED5BF" w:rsidR="0062227D" w:rsidRDefault="0062227D" w:rsidP="0062227D">
      <w:pPr>
        <w:pStyle w:val="ListParagraph"/>
        <w:numPr>
          <w:ilvl w:val="0"/>
          <w:numId w:val="19"/>
        </w:numPr>
        <w:rPr>
          <w:sz w:val="20"/>
          <w:szCs w:val="20"/>
          <w:lang w:val="fr-FR" w:eastAsia="en-GB"/>
        </w:rPr>
      </w:pPr>
      <w:r w:rsidRPr="00C46A42">
        <w:rPr>
          <w:sz w:val="20"/>
          <w:szCs w:val="20"/>
          <w:lang w:val="fr-FR" w:eastAsia="en-GB"/>
        </w:rPr>
        <w:t>Les participants se familiariseront avec l</w:t>
      </w:r>
      <w:r>
        <w:rPr>
          <w:sz w:val="20"/>
          <w:szCs w:val="20"/>
          <w:lang w:val="fr-FR" w:eastAsia="en-GB"/>
        </w:rPr>
        <w:t>a</w:t>
      </w:r>
      <w:r w:rsidRPr="00C46A42">
        <w:rPr>
          <w:sz w:val="20"/>
          <w:szCs w:val="20"/>
          <w:lang w:val="fr-FR" w:eastAsia="en-GB"/>
        </w:rPr>
        <w:t xml:space="preserve"> recherche</w:t>
      </w:r>
      <w:r>
        <w:rPr>
          <w:sz w:val="20"/>
          <w:szCs w:val="20"/>
          <w:lang w:val="fr-FR" w:eastAsia="en-GB"/>
        </w:rPr>
        <w:t xml:space="preserve"> </w:t>
      </w:r>
      <w:r w:rsidRPr="00C46A42">
        <w:rPr>
          <w:sz w:val="20"/>
          <w:szCs w:val="20"/>
          <w:lang w:val="fr-FR" w:eastAsia="en-GB"/>
        </w:rPr>
        <w:t>de l'OMC</w:t>
      </w:r>
      <w:r w:rsidR="00F34F88">
        <w:rPr>
          <w:sz w:val="20"/>
          <w:szCs w:val="20"/>
          <w:lang w:val="fr-FR" w:eastAsia="en-GB"/>
        </w:rPr>
        <w:t>, la Banque Mondiale, et l'</w:t>
      </w:r>
      <w:r w:rsidRPr="00C46A42">
        <w:rPr>
          <w:sz w:val="20"/>
          <w:szCs w:val="20"/>
          <w:lang w:val="fr-FR" w:eastAsia="en-GB"/>
        </w:rPr>
        <w:t>OCDE sur les bonnes pratiques réglementaires, l</w:t>
      </w:r>
      <w:r>
        <w:rPr>
          <w:sz w:val="20"/>
          <w:szCs w:val="20"/>
          <w:lang w:val="fr-FR" w:eastAsia="en-GB"/>
        </w:rPr>
        <w:t>eur</w:t>
      </w:r>
      <w:r w:rsidRPr="00C46A42">
        <w:rPr>
          <w:sz w:val="20"/>
          <w:szCs w:val="20"/>
          <w:lang w:val="fr-FR" w:eastAsia="en-GB"/>
        </w:rPr>
        <w:t xml:space="preserve"> prévalence croissante </w:t>
      </w:r>
      <w:r>
        <w:rPr>
          <w:sz w:val="20"/>
          <w:szCs w:val="20"/>
          <w:lang w:val="fr-FR" w:eastAsia="en-GB"/>
        </w:rPr>
        <w:t>dans les</w:t>
      </w:r>
      <w:r w:rsidRPr="00C46A42">
        <w:rPr>
          <w:sz w:val="20"/>
          <w:szCs w:val="20"/>
          <w:lang w:val="fr-FR" w:eastAsia="en-GB"/>
        </w:rPr>
        <w:t xml:space="preserve"> accords de libre-échange et les avantages économiques de l</w:t>
      </w:r>
      <w:r>
        <w:rPr>
          <w:sz w:val="20"/>
          <w:szCs w:val="20"/>
          <w:lang w:val="fr-FR" w:eastAsia="en-GB"/>
        </w:rPr>
        <w:t>eur</w:t>
      </w:r>
      <w:r w:rsidRPr="00C46A42">
        <w:rPr>
          <w:sz w:val="20"/>
          <w:szCs w:val="20"/>
          <w:lang w:val="fr-FR" w:eastAsia="en-GB"/>
        </w:rPr>
        <w:t xml:space="preserve"> mise en œuvre</w:t>
      </w:r>
      <w:r w:rsidR="00EC30F3">
        <w:rPr>
          <w:sz w:val="20"/>
          <w:szCs w:val="20"/>
          <w:lang w:val="fr-FR" w:eastAsia="en-GB"/>
        </w:rPr>
        <w:t xml:space="preserve"> - </w:t>
      </w:r>
      <w:r w:rsidRPr="00C46A42">
        <w:rPr>
          <w:sz w:val="20"/>
          <w:szCs w:val="20"/>
          <w:lang w:val="fr-FR" w:eastAsia="en-GB"/>
        </w:rPr>
        <w:t xml:space="preserve">notamment </w:t>
      </w:r>
      <w:r w:rsidR="00325684" w:rsidRPr="00325684">
        <w:rPr>
          <w:sz w:val="20"/>
          <w:szCs w:val="20"/>
          <w:lang w:val="fr-FR" w:eastAsia="en-GB"/>
        </w:rPr>
        <w:t xml:space="preserve">afin d'examiner le cadre législatif et réglementaire du Maroc </w:t>
      </w:r>
      <w:r w:rsidR="007426A2">
        <w:rPr>
          <w:sz w:val="20"/>
          <w:szCs w:val="20"/>
          <w:lang w:val="fr-FR" w:eastAsia="en-GB"/>
        </w:rPr>
        <w:t xml:space="preserve">et </w:t>
      </w:r>
      <w:r w:rsidRPr="00C46A42">
        <w:rPr>
          <w:sz w:val="20"/>
          <w:szCs w:val="20"/>
          <w:lang w:val="fr-FR" w:eastAsia="en-GB"/>
        </w:rPr>
        <w:t xml:space="preserve">d'évaluer </w:t>
      </w:r>
      <w:r w:rsidR="0062093F">
        <w:rPr>
          <w:sz w:val="20"/>
          <w:szCs w:val="20"/>
          <w:lang w:val="fr-FR" w:eastAsia="en-GB"/>
        </w:rPr>
        <w:t>sa compatibilité avec les disciplines convenues</w:t>
      </w:r>
      <w:r w:rsidRPr="00C46A42">
        <w:rPr>
          <w:sz w:val="20"/>
          <w:szCs w:val="20"/>
          <w:lang w:val="fr-FR" w:eastAsia="en-GB"/>
        </w:rPr>
        <w:t xml:space="preserve"> par l'Initiative conjointe.</w:t>
      </w:r>
      <w:r w:rsidR="00B47A79">
        <w:rPr>
          <w:sz w:val="20"/>
          <w:szCs w:val="20"/>
          <w:lang w:val="fr-FR" w:eastAsia="en-GB"/>
        </w:rPr>
        <w:t xml:space="preserve"> </w:t>
      </w:r>
    </w:p>
    <w:p w14:paraId="780FB0A2" w14:textId="77777777" w:rsidR="0062227D" w:rsidRPr="00C03E2D" w:rsidRDefault="0062227D" w:rsidP="0062227D">
      <w:pPr>
        <w:rPr>
          <w:sz w:val="20"/>
          <w:szCs w:val="20"/>
          <w:u w:val="single"/>
          <w:lang w:val="fr-FR" w:eastAsia="en-GB"/>
        </w:rPr>
      </w:pPr>
    </w:p>
    <w:p w14:paraId="2F3B36A1" w14:textId="77777777" w:rsidR="0089189D" w:rsidRDefault="0089189D" w:rsidP="0062227D">
      <w:pPr>
        <w:rPr>
          <w:sz w:val="20"/>
          <w:szCs w:val="20"/>
          <w:u w:val="single"/>
          <w:lang w:val="fr-CH" w:eastAsia="en-GB"/>
        </w:rPr>
      </w:pPr>
    </w:p>
    <w:p w14:paraId="0CF83CFA" w14:textId="01337C7B" w:rsidR="0062227D" w:rsidRPr="00CC5946" w:rsidRDefault="0062227D" w:rsidP="0062227D">
      <w:pPr>
        <w:rPr>
          <w:sz w:val="20"/>
          <w:szCs w:val="20"/>
          <w:lang w:val="fr-CH" w:eastAsia="en-GB"/>
        </w:rPr>
      </w:pPr>
      <w:r w:rsidRPr="00CC5946">
        <w:rPr>
          <w:sz w:val="20"/>
          <w:szCs w:val="20"/>
          <w:u w:val="single"/>
          <w:lang w:val="fr-CH" w:eastAsia="en-GB"/>
        </w:rPr>
        <w:t>Dates :</w:t>
      </w:r>
      <w:r w:rsidRPr="00CC5946">
        <w:rPr>
          <w:sz w:val="20"/>
          <w:szCs w:val="20"/>
          <w:lang w:val="fr-CH" w:eastAsia="en-GB"/>
        </w:rPr>
        <w:t xml:space="preserve"> </w:t>
      </w:r>
    </w:p>
    <w:p w14:paraId="268F89F9" w14:textId="66024C3C" w:rsidR="0062227D" w:rsidRPr="0089189D" w:rsidRDefault="0062227D" w:rsidP="0062227D">
      <w:pPr>
        <w:rPr>
          <w:sz w:val="20"/>
          <w:szCs w:val="20"/>
          <w:lang w:val="fr-CH" w:eastAsia="en-GB"/>
        </w:rPr>
      </w:pPr>
      <w:r w:rsidRPr="00CC5946">
        <w:rPr>
          <w:sz w:val="20"/>
          <w:szCs w:val="20"/>
          <w:lang w:val="fr-CH" w:eastAsia="en-GB"/>
        </w:rPr>
        <w:t>Le programme aura lieu du mercredi 23 au vendredi 25 novembre.</w:t>
      </w:r>
    </w:p>
    <w:p w14:paraId="6BACD2AC" w14:textId="77777777" w:rsidR="0062227D" w:rsidRPr="00CC5946" w:rsidRDefault="0062227D" w:rsidP="0062227D">
      <w:pPr>
        <w:rPr>
          <w:sz w:val="20"/>
          <w:szCs w:val="20"/>
          <w:u w:val="single"/>
          <w:lang w:val="fr-CH" w:eastAsia="en-GB"/>
        </w:rPr>
      </w:pPr>
    </w:p>
    <w:p w14:paraId="601AF9AF" w14:textId="77777777" w:rsidR="0062227D" w:rsidRPr="00CC5946" w:rsidRDefault="0062227D" w:rsidP="0062227D">
      <w:pPr>
        <w:rPr>
          <w:sz w:val="20"/>
          <w:szCs w:val="20"/>
          <w:lang w:val="fr-FR" w:eastAsia="en-GB"/>
        </w:rPr>
      </w:pPr>
      <w:r w:rsidRPr="00CC5946">
        <w:rPr>
          <w:sz w:val="20"/>
          <w:szCs w:val="20"/>
          <w:u w:val="single"/>
          <w:lang w:val="fr-FR" w:eastAsia="en-GB"/>
        </w:rPr>
        <w:t>Formation dispensée par :</w:t>
      </w:r>
      <w:r w:rsidRPr="00CC5946">
        <w:rPr>
          <w:sz w:val="20"/>
          <w:szCs w:val="20"/>
          <w:lang w:val="fr-FR" w:eastAsia="en-GB"/>
        </w:rPr>
        <w:t xml:space="preserve"> </w:t>
      </w:r>
    </w:p>
    <w:p w14:paraId="05E98951" w14:textId="77777777" w:rsidR="0062227D" w:rsidRPr="00CC5946" w:rsidRDefault="0062227D" w:rsidP="0062227D">
      <w:pPr>
        <w:rPr>
          <w:sz w:val="20"/>
          <w:szCs w:val="20"/>
          <w:lang w:val="fr-FR" w:eastAsia="en-GB"/>
        </w:rPr>
      </w:pPr>
      <w:r w:rsidRPr="00CC5946">
        <w:rPr>
          <w:sz w:val="20"/>
          <w:szCs w:val="20"/>
          <w:lang w:val="fr-FR" w:eastAsia="en-GB"/>
        </w:rPr>
        <w:t xml:space="preserve">Mme. Elena BERTOLA, Chargée des affaires </w:t>
      </w:r>
      <w:r>
        <w:rPr>
          <w:sz w:val="20"/>
          <w:szCs w:val="20"/>
          <w:lang w:val="fr-FR" w:eastAsia="en-GB"/>
        </w:rPr>
        <w:t>juridiques</w:t>
      </w:r>
      <w:r w:rsidRPr="00CC5946">
        <w:rPr>
          <w:sz w:val="20"/>
          <w:szCs w:val="20"/>
          <w:lang w:val="fr-FR" w:eastAsia="en-GB"/>
        </w:rPr>
        <w:t xml:space="preserve"> au sein de la Division</w:t>
      </w:r>
      <w:r w:rsidRPr="00CC5946">
        <w:rPr>
          <w:lang w:val="fr-CH"/>
        </w:rPr>
        <w:t xml:space="preserve"> </w:t>
      </w:r>
      <w:r w:rsidRPr="00CC5946">
        <w:rPr>
          <w:sz w:val="20"/>
          <w:szCs w:val="20"/>
          <w:lang w:val="fr-FR" w:eastAsia="en-GB"/>
        </w:rPr>
        <w:t>du commerce des services et de l'investissement, Organisation Mondiale du Commerce.</w:t>
      </w:r>
    </w:p>
    <w:p w14:paraId="6B459AA0" w14:textId="77777777" w:rsidR="0062227D" w:rsidRPr="00CC5946" w:rsidRDefault="0062227D" w:rsidP="0062227D">
      <w:pPr>
        <w:rPr>
          <w:sz w:val="20"/>
          <w:szCs w:val="20"/>
          <w:lang w:val="fr-FR" w:eastAsia="en-GB"/>
        </w:rPr>
      </w:pPr>
    </w:p>
    <w:p w14:paraId="4EE47175" w14:textId="10887158" w:rsidR="0062227D" w:rsidRPr="000E362A" w:rsidRDefault="0062227D" w:rsidP="000E362A">
      <w:pPr>
        <w:rPr>
          <w:sz w:val="20"/>
          <w:szCs w:val="20"/>
          <w:lang w:val="fr-FR" w:eastAsia="en-GB"/>
        </w:rPr>
      </w:pPr>
      <w:r w:rsidRPr="00CC5946">
        <w:rPr>
          <w:sz w:val="20"/>
          <w:szCs w:val="20"/>
          <w:lang w:val="fr-FR" w:eastAsia="en-GB"/>
        </w:rPr>
        <w:t>M. Yanis BOURGEOIS, Chargé des affaires économiques au sein de la</w:t>
      </w:r>
      <w:r w:rsidRPr="00874DC5">
        <w:rPr>
          <w:sz w:val="20"/>
          <w:szCs w:val="20"/>
          <w:lang w:val="fr-FR" w:eastAsia="en-GB"/>
        </w:rPr>
        <w:t xml:space="preserve"> Division du Conseil et du Comité des négociations commerciales</w:t>
      </w:r>
      <w:r>
        <w:rPr>
          <w:sz w:val="20"/>
          <w:szCs w:val="20"/>
          <w:lang w:val="fr-FR" w:eastAsia="en-GB"/>
        </w:rPr>
        <w:t xml:space="preserve">, </w:t>
      </w:r>
      <w:r w:rsidRPr="00CC5946">
        <w:rPr>
          <w:sz w:val="20"/>
          <w:szCs w:val="20"/>
          <w:lang w:val="fr-FR" w:eastAsia="en-GB"/>
        </w:rPr>
        <w:t>Organisation Mondiale du Commerce</w:t>
      </w:r>
      <w:r>
        <w:rPr>
          <w:sz w:val="20"/>
          <w:szCs w:val="20"/>
          <w:lang w:val="fr-FR" w:eastAsia="en-GB"/>
        </w:rPr>
        <w:t>.</w:t>
      </w:r>
    </w:p>
    <w:tbl>
      <w:tblPr>
        <w:tblStyle w:val="WTOTable1"/>
        <w:tblpPr w:leftFromText="180" w:rightFromText="180" w:vertAnchor="text" w:horzAnchor="margin" w:tblpX="-998" w:tblpY="-36"/>
        <w:tblW w:w="10632" w:type="dxa"/>
        <w:tblLook w:val="04A0" w:firstRow="1" w:lastRow="0" w:firstColumn="1" w:lastColumn="0" w:noHBand="0" w:noVBand="1"/>
      </w:tblPr>
      <w:tblGrid>
        <w:gridCol w:w="1413"/>
        <w:gridCol w:w="6804"/>
        <w:gridCol w:w="2415"/>
      </w:tblGrid>
      <w:tr w:rsidR="0062227D" w14:paraId="3635F6FA" w14:textId="77777777" w:rsidTr="00EC4B56">
        <w:trPr>
          <w:cnfStyle w:val="100000000000" w:firstRow="1" w:lastRow="0" w:firstColumn="0" w:lastColumn="0" w:oddVBand="0" w:evenVBand="0" w:oddHBand="0" w:evenHBand="0" w:firstRowFirstColumn="0" w:firstRowLastColumn="0" w:lastRowFirstColumn="0" w:lastRowLastColumn="0"/>
        </w:trPr>
        <w:tc>
          <w:tcPr>
            <w:tcW w:w="10632" w:type="dxa"/>
            <w:gridSpan w:val="3"/>
            <w:tcBorders>
              <w:top w:val="nil"/>
              <w:bottom w:val="nil"/>
            </w:tcBorders>
            <w:shd w:val="clear" w:color="auto" w:fill="365F91" w:themeFill="accent1" w:themeFillShade="BF"/>
          </w:tcPr>
          <w:p w14:paraId="2CE1867F" w14:textId="77777777" w:rsidR="0062227D" w:rsidRPr="00D83AF7" w:rsidRDefault="0062227D" w:rsidP="00EC4B56">
            <w:pPr>
              <w:rPr>
                <w:b w:val="0"/>
                <w:i/>
                <w:iCs/>
                <w:lang w:val="fr-FR"/>
              </w:rPr>
            </w:pPr>
          </w:p>
          <w:p w14:paraId="62F18CAD" w14:textId="77777777" w:rsidR="0062227D" w:rsidRPr="00D83AF7" w:rsidRDefault="0062227D" w:rsidP="00EC4B56">
            <w:pPr>
              <w:rPr>
                <w:b w:val="0"/>
                <w:i/>
                <w:iCs/>
                <w:lang w:val="fr-FR"/>
              </w:rPr>
            </w:pPr>
            <w:r>
              <w:rPr>
                <w:i/>
                <w:iCs/>
                <w:lang w:val="fr-FR"/>
              </w:rPr>
              <w:t>23</w:t>
            </w:r>
            <w:r w:rsidRPr="00D83AF7">
              <w:rPr>
                <w:i/>
                <w:iCs/>
                <w:lang w:val="fr-FR"/>
              </w:rPr>
              <w:t xml:space="preserve"> </w:t>
            </w:r>
            <w:r>
              <w:rPr>
                <w:i/>
                <w:iCs/>
                <w:lang w:val="fr-FR"/>
              </w:rPr>
              <w:t>novembre</w:t>
            </w:r>
            <w:r w:rsidRPr="00D83AF7">
              <w:rPr>
                <w:i/>
                <w:iCs/>
                <w:lang w:val="fr-FR"/>
              </w:rPr>
              <w:t xml:space="preserve"> 2022</w:t>
            </w:r>
          </w:p>
          <w:p w14:paraId="67AEC12E" w14:textId="77777777" w:rsidR="0062227D" w:rsidRDefault="0062227D" w:rsidP="00EC4B56">
            <w:pPr>
              <w:jc w:val="right"/>
              <w:rPr>
                <w:b w:val="0"/>
                <w:i/>
                <w:iCs/>
              </w:rPr>
            </w:pPr>
          </w:p>
        </w:tc>
      </w:tr>
      <w:tr w:rsidR="0062227D" w:rsidRPr="005C3C11" w14:paraId="656A48AF"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tcBorders>
              <w:top w:val="nil"/>
              <w:bottom w:val="nil"/>
            </w:tcBorders>
            <w:shd w:val="clear" w:color="auto" w:fill="DAEEF3" w:themeFill="accent5" w:themeFillTint="33"/>
          </w:tcPr>
          <w:p w14:paraId="4F509290" w14:textId="77777777" w:rsidR="0062227D" w:rsidRDefault="0062227D" w:rsidP="00EC4B56">
            <w:pPr>
              <w:rPr>
                <w:i/>
                <w:iCs/>
                <w:lang w:val="fr-FR"/>
              </w:rPr>
            </w:pPr>
            <w:r>
              <w:rPr>
                <w:i/>
                <w:iCs/>
                <w:lang w:val="fr-FR"/>
              </w:rPr>
              <w:t>9h00-</w:t>
            </w:r>
          </w:p>
          <w:p w14:paraId="61136B90" w14:textId="77777777" w:rsidR="0062227D" w:rsidRPr="00D83AF7" w:rsidRDefault="0062227D" w:rsidP="00EC4B56">
            <w:pPr>
              <w:rPr>
                <w:i/>
                <w:iCs/>
                <w:lang w:val="fr-FR"/>
              </w:rPr>
            </w:pPr>
            <w:r>
              <w:rPr>
                <w:i/>
                <w:iCs/>
                <w:lang w:val="fr-FR"/>
              </w:rPr>
              <w:t>9h30</w:t>
            </w:r>
          </w:p>
        </w:tc>
        <w:tc>
          <w:tcPr>
            <w:tcW w:w="6804" w:type="dxa"/>
            <w:shd w:val="clear" w:color="auto" w:fill="DAEEF3" w:themeFill="accent5" w:themeFillTint="33"/>
          </w:tcPr>
          <w:p w14:paraId="41125791" w14:textId="77777777" w:rsidR="0062227D" w:rsidRDefault="0062227D" w:rsidP="00EC4B56">
            <w:pPr>
              <w:rPr>
                <w:b/>
                <w:bCs/>
                <w:lang w:val="fr-FR"/>
              </w:rPr>
            </w:pPr>
            <w:bookmarkStart w:id="0" w:name="_Hlk100678165"/>
            <w:r>
              <w:rPr>
                <w:b/>
                <w:bCs/>
                <w:lang w:val="fr-FR"/>
              </w:rPr>
              <w:t xml:space="preserve">Présentation de l'atelier </w:t>
            </w:r>
          </w:p>
          <w:p w14:paraId="77B630DC" w14:textId="77777777" w:rsidR="0062227D" w:rsidRPr="005C3C11" w:rsidRDefault="0062227D" w:rsidP="0062227D">
            <w:pPr>
              <w:pStyle w:val="ListParagraph"/>
              <w:numPr>
                <w:ilvl w:val="0"/>
                <w:numId w:val="30"/>
              </w:numPr>
              <w:rPr>
                <w:lang w:val="fr-FR"/>
              </w:rPr>
            </w:pPr>
            <w:r w:rsidRPr="005C3C11">
              <w:rPr>
                <w:lang w:val="fr-FR"/>
              </w:rPr>
              <w:t>Programme</w:t>
            </w:r>
          </w:p>
          <w:p w14:paraId="237D6A4D" w14:textId="77777777" w:rsidR="0062227D" w:rsidRDefault="0062227D" w:rsidP="0062227D">
            <w:pPr>
              <w:pStyle w:val="ListParagraph"/>
              <w:numPr>
                <w:ilvl w:val="0"/>
                <w:numId w:val="22"/>
              </w:numPr>
              <w:rPr>
                <w:lang w:val="fr-FR"/>
              </w:rPr>
            </w:pPr>
            <w:r>
              <w:rPr>
                <w:lang w:val="fr-FR"/>
              </w:rPr>
              <w:t>Objectifs du programme</w:t>
            </w:r>
          </w:p>
          <w:p w14:paraId="1D63C18C" w14:textId="77777777" w:rsidR="0062227D" w:rsidRPr="002E76E6" w:rsidRDefault="0062227D" w:rsidP="0062227D">
            <w:pPr>
              <w:pStyle w:val="ListParagraph"/>
              <w:numPr>
                <w:ilvl w:val="0"/>
                <w:numId w:val="22"/>
              </w:numPr>
              <w:rPr>
                <w:lang w:val="fr-FR"/>
              </w:rPr>
            </w:pPr>
            <w:r>
              <w:rPr>
                <w:lang w:val="fr-FR"/>
              </w:rPr>
              <w:t>Attentes des participants</w:t>
            </w:r>
            <w:bookmarkEnd w:id="0"/>
          </w:p>
        </w:tc>
        <w:tc>
          <w:tcPr>
            <w:tcW w:w="2415" w:type="dxa"/>
            <w:shd w:val="clear" w:color="auto" w:fill="DAEEF3" w:themeFill="accent5" w:themeFillTint="33"/>
          </w:tcPr>
          <w:p w14:paraId="1704ECD5" w14:textId="77777777" w:rsidR="0062227D" w:rsidRPr="004610D0" w:rsidRDefault="0062227D" w:rsidP="00EC4B56">
            <w:pPr>
              <w:jc w:val="right"/>
              <w:rPr>
                <w:lang w:val="fr-CH"/>
              </w:rPr>
            </w:pPr>
            <w:commentRangeStart w:id="1"/>
            <w:r w:rsidRPr="004610D0">
              <w:rPr>
                <w:highlight w:val="yellow"/>
                <w:lang w:val="fr-CH"/>
              </w:rPr>
              <w:t>XXX</w:t>
            </w:r>
            <w:commentRangeEnd w:id="1"/>
            <w:r>
              <w:rPr>
                <w:rStyle w:val="CommentReference"/>
                <w:rFonts w:eastAsiaTheme="minorHAnsi" w:cstheme="minorBidi"/>
                <w:lang w:eastAsia="en-US"/>
              </w:rPr>
              <w:commentReference w:id="1"/>
            </w:r>
          </w:p>
          <w:p w14:paraId="32FE5A1B" w14:textId="77777777" w:rsidR="0062227D" w:rsidRPr="004610D0" w:rsidRDefault="0062227D" w:rsidP="00EC4B56">
            <w:pPr>
              <w:jc w:val="right"/>
              <w:rPr>
                <w:lang w:val="fr-CH"/>
              </w:rPr>
            </w:pPr>
          </w:p>
          <w:p w14:paraId="62D39686" w14:textId="77777777" w:rsidR="0062227D" w:rsidRDefault="0062227D" w:rsidP="00EC4B56">
            <w:pPr>
              <w:jc w:val="right"/>
              <w:rPr>
                <w:lang w:val="fr-CH"/>
              </w:rPr>
            </w:pPr>
          </w:p>
          <w:p w14:paraId="6A426EEA" w14:textId="77777777" w:rsidR="0062227D" w:rsidRDefault="0062227D" w:rsidP="00EC4B56">
            <w:pPr>
              <w:jc w:val="right"/>
              <w:rPr>
                <w:lang w:val="fr-CH"/>
              </w:rPr>
            </w:pPr>
            <w:r w:rsidRPr="004610D0">
              <w:rPr>
                <w:lang w:val="fr-CH"/>
              </w:rPr>
              <w:t>Elena BERTOLA</w:t>
            </w:r>
            <w:r>
              <w:rPr>
                <w:lang w:val="fr-CH"/>
              </w:rPr>
              <w:t xml:space="preserve"> et</w:t>
            </w:r>
          </w:p>
          <w:p w14:paraId="11A5F7DA" w14:textId="77777777" w:rsidR="0062227D" w:rsidRDefault="0062227D" w:rsidP="00EC4B56">
            <w:pPr>
              <w:jc w:val="right"/>
              <w:rPr>
                <w:lang w:val="fr-CH"/>
              </w:rPr>
            </w:pPr>
            <w:r w:rsidRPr="004610D0">
              <w:rPr>
                <w:lang w:val="fr-CH"/>
              </w:rPr>
              <w:t>Yanis BOURGEOI</w:t>
            </w:r>
            <w:r>
              <w:rPr>
                <w:lang w:val="fr-CH"/>
              </w:rPr>
              <w:t>S</w:t>
            </w:r>
          </w:p>
          <w:p w14:paraId="27222ECD" w14:textId="77777777" w:rsidR="0062227D" w:rsidRPr="004610D0" w:rsidRDefault="0062227D" w:rsidP="00EC4B56">
            <w:pPr>
              <w:jc w:val="right"/>
              <w:rPr>
                <w:lang w:val="fr-CH"/>
              </w:rPr>
            </w:pPr>
          </w:p>
        </w:tc>
      </w:tr>
      <w:tr w:rsidR="0062227D" w:rsidRPr="005C3C11" w14:paraId="2FE3CEEE"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tcBorders>
              <w:top w:val="nil"/>
              <w:bottom w:val="nil"/>
            </w:tcBorders>
            <w:shd w:val="clear" w:color="auto" w:fill="auto"/>
          </w:tcPr>
          <w:p w14:paraId="39735617" w14:textId="77777777" w:rsidR="0062227D" w:rsidRDefault="0062227D" w:rsidP="00EC4B56">
            <w:pPr>
              <w:rPr>
                <w:i/>
                <w:iCs/>
                <w:lang w:val="fr-FR"/>
              </w:rPr>
            </w:pPr>
            <w:r>
              <w:rPr>
                <w:i/>
                <w:iCs/>
                <w:lang w:val="fr-FR"/>
              </w:rPr>
              <w:t>9h30-</w:t>
            </w:r>
          </w:p>
          <w:p w14:paraId="18BA7524" w14:textId="77777777" w:rsidR="0062227D" w:rsidRDefault="0062227D" w:rsidP="00EC4B56">
            <w:pPr>
              <w:rPr>
                <w:i/>
                <w:iCs/>
                <w:lang w:val="fr-FR"/>
              </w:rPr>
            </w:pPr>
            <w:r>
              <w:rPr>
                <w:i/>
                <w:iCs/>
                <w:lang w:val="fr-FR"/>
              </w:rPr>
              <w:t>10h00</w:t>
            </w:r>
          </w:p>
          <w:p w14:paraId="442CB62D" w14:textId="77777777" w:rsidR="0062227D" w:rsidRDefault="0062227D" w:rsidP="00EC4B56">
            <w:pPr>
              <w:rPr>
                <w:i/>
                <w:iCs/>
                <w:lang w:val="fr-FR"/>
              </w:rPr>
            </w:pPr>
          </w:p>
          <w:p w14:paraId="0255BCDC" w14:textId="77777777" w:rsidR="0062227D" w:rsidRDefault="0062227D" w:rsidP="00EC4B56">
            <w:pPr>
              <w:rPr>
                <w:i/>
                <w:iCs/>
                <w:lang w:val="fr-FR"/>
              </w:rPr>
            </w:pPr>
          </w:p>
          <w:p w14:paraId="2E3AF59A" w14:textId="77777777" w:rsidR="0062227D" w:rsidRDefault="0062227D" w:rsidP="00EC4B56">
            <w:pPr>
              <w:rPr>
                <w:i/>
                <w:iCs/>
                <w:lang w:val="fr-FR"/>
              </w:rPr>
            </w:pPr>
          </w:p>
        </w:tc>
        <w:tc>
          <w:tcPr>
            <w:tcW w:w="6804" w:type="dxa"/>
            <w:shd w:val="clear" w:color="auto" w:fill="auto"/>
          </w:tcPr>
          <w:p w14:paraId="26ECD8D6" w14:textId="77777777" w:rsidR="0062227D" w:rsidRPr="002E76E6" w:rsidRDefault="0062227D" w:rsidP="00EC4B56">
            <w:pPr>
              <w:rPr>
                <w:b/>
                <w:bCs/>
                <w:lang w:val="fr-FR"/>
              </w:rPr>
            </w:pPr>
            <w:r>
              <w:rPr>
                <w:b/>
                <w:bCs/>
                <w:lang w:val="fr-FR"/>
              </w:rPr>
              <w:t xml:space="preserve">Propos introductifs </w:t>
            </w:r>
          </w:p>
          <w:p w14:paraId="67474396" w14:textId="77777777" w:rsidR="0062227D" w:rsidRPr="002E76E6" w:rsidRDefault="0062227D" w:rsidP="0062227D">
            <w:pPr>
              <w:pStyle w:val="ListParagraph"/>
              <w:numPr>
                <w:ilvl w:val="0"/>
                <w:numId w:val="31"/>
              </w:numPr>
              <w:rPr>
                <w:lang w:val="fr-FR"/>
              </w:rPr>
            </w:pPr>
            <w:commentRangeStart w:id="2"/>
            <w:r w:rsidRPr="00983D91">
              <w:rPr>
                <w:lang w:val="fr-FR"/>
              </w:rPr>
              <w:t>Point sur les Décisions et Déclarations ministérielles adoptées lors de la CM12 de l'OMC (juin 2022)</w:t>
            </w:r>
            <w:commentRangeEnd w:id="2"/>
            <w:r>
              <w:rPr>
                <w:rStyle w:val="CommentReference"/>
                <w:rFonts w:eastAsiaTheme="minorHAnsi" w:cstheme="minorBidi"/>
                <w:lang w:eastAsia="en-US"/>
              </w:rPr>
              <w:commentReference w:id="2"/>
            </w:r>
          </w:p>
        </w:tc>
        <w:tc>
          <w:tcPr>
            <w:tcW w:w="2415" w:type="dxa"/>
            <w:shd w:val="clear" w:color="auto" w:fill="auto"/>
          </w:tcPr>
          <w:p w14:paraId="33F8B406" w14:textId="77777777" w:rsidR="0062227D" w:rsidRDefault="0062227D" w:rsidP="00EC4B56">
            <w:pPr>
              <w:jc w:val="right"/>
              <w:rPr>
                <w:lang w:val="fr-CH"/>
              </w:rPr>
            </w:pPr>
            <w:r w:rsidRPr="004610D0">
              <w:rPr>
                <w:lang w:val="fr-CH"/>
              </w:rPr>
              <w:t>Elena BERTOLA</w:t>
            </w:r>
            <w:r>
              <w:rPr>
                <w:lang w:val="fr-CH"/>
              </w:rPr>
              <w:t xml:space="preserve"> et</w:t>
            </w:r>
          </w:p>
          <w:p w14:paraId="671F1E8C" w14:textId="77777777" w:rsidR="0062227D" w:rsidRPr="002E76E6" w:rsidRDefault="0062227D" w:rsidP="00EC4B56">
            <w:pPr>
              <w:jc w:val="right"/>
              <w:rPr>
                <w:lang w:val="fr-CH"/>
              </w:rPr>
            </w:pPr>
            <w:r w:rsidRPr="004610D0">
              <w:rPr>
                <w:lang w:val="fr-CH"/>
              </w:rPr>
              <w:t>Yanis BOURGEOI</w:t>
            </w:r>
            <w:r>
              <w:rPr>
                <w:lang w:val="fr-CH"/>
              </w:rPr>
              <w:t>S</w:t>
            </w:r>
          </w:p>
        </w:tc>
      </w:tr>
      <w:tr w:rsidR="0062227D" w14:paraId="1EFF50C2"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tcBorders>
              <w:top w:val="nil"/>
              <w:bottom w:val="nil"/>
            </w:tcBorders>
            <w:shd w:val="clear" w:color="auto" w:fill="DAEEF3" w:themeFill="accent5" w:themeFillTint="33"/>
          </w:tcPr>
          <w:p w14:paraId="518653C8" w14:textId="77777777" w:rsidR="0062227D" w:rsidRDefault="0062227D" w:rsidP="00EC4B56">
            <w:pPr>
              <w:rPr>
                <w:i/>
                <w:iCs/>
                <w:lang w:val="fr-FR"/>
              </w:rPr>
            </w:pPr>
            <w:r>
              <w:rPr>
                <w:i/>
                <w:iCs/>
                <w:lang w:val="fr-FR"/>
              </w:rPr>
              <w:t>10h00-</w:t>
            </w:r>
          </w:p>
          <w:p w14:paraId="2948F8E6" w14:textId="77777777" w:rsidR="0062227D" w:rsidRDefault="0062227D" w:rsidP="00EC4B56">
            <w:pPr>
              <w:rPr>
                <w:i/>
                <w:iCs/>
                <w:lang w:val="fr-FR"/>
              </w:rPr>
            </w:pPr>
            <w:r>
              <w:rPr>
                <w:i/>
                <w:iCs/>
                <w:lang w:val="fr-FR"/>
              </w:rPr>
              <w:t>12h00</w:t>
            </w:r>
          </w:p>
        </w:tc>
        <w:tc>
          <w:tcPr>
            <w:tcW w:w="6804" w:type="dxa"/>
            <w:shd w:val="clear" w:color="auto" w:fill="DAEEF3" w:themeFill="accent5" w:themeFillTint="33"/>
          </w:tcPr>
          <w:p w14:paraId="6F814FD7" w14:textId="77777777" w:rsidR="0062227D" w:rsidRPr="00D83AF7" w:rsidRDefault="0062227D" w:rsidP="00EC4B56">
            <w:pPr>
              <w:rPr>
                <w:b/>
                <w:bCs/>
                <w:lang w:val="fr-FR"/>
              </w:rPr>
            </w:pPr>
            <w:r>
              <w:rPr>
                <w:b/>
                <w:bCs/>
                <w:lang w:val="fr-FR"/>
              </w:rPr>
              <w:t>Introduction au e</w:t>
            </w:r>
            <w:r w:rsidRPr="00D83AF7">
              <w:rPr>
                <w:b/>
                <w:bCs/>
                <w:lang w:val="fr-FR"/>
              </w:rPr>
              <w:t>-commerc</w:t>
            </w:r>
            <w:r>
              <w:rPr>
                <w:b/>
                <w:bCs/>
                <w:lang w:val="fr-FR"/>
              </w:rPr>
              <w:t xml:space="preserve">e </w:t>
            </w:r>
          </w:p>
          <w:p w14:paraId="4EE0E576" w14:textId="77777777" w:rsidR="0062227D" w:rsidRDefault="0062227D" w:rsidP="0062227D">
            <w:pPr>
              <w:pStyle w:val="ListParagraph"/>
              <w:numPr>
                <w:ilvl w:val="0"/>
                <w:numId w:val="20"/>
              </w:numPr>
            </w:pPr>
            <w:r>
              <w:t>Evolution du e-commerce</w:t>
            </w:r>
          </w:p>
          <w:p w14:paraId="24CFD189" w14:textId="77777777" w:rsidR="0062227D" w:rsidRPr="007A2D53" w:rsidRDefault="0062227D" w:rsidP="0062227D">
            <w:pPr>
              <w:pStyle w:val="ListParagraph"/>
              <w:numPr>
                <w:ilvl w:val="0"/>
                <w:numId w:val="20"/>
              </w:numPr>
              <w:rPr>
                <w:lang w:val="fr-CH"/>
              </w:rPr>
            </w:pPr>
            <w:r w:rsidRPr="007A2D53">
              <w:rPr>
                <w:lang w:val="fr-CH"/>
              </w:rPr>
              <w:t>Classification des transactions e-c</w:t>
            </w:r>
            <w:r>
              <w:rPr>
                <w:lang w:val="fr-CH"/>
              </w:rPr>
              <w:t>ommerce</w:t>
            </w:r>
          </w:p>
          <w:p w14:paraId="53A63D4D" w14:textId="77777777" w:rsidR="0062227D" w:rsidRDefault="0062227D" w:rsidP="0062227D">
            <w:pPr>
              <w:pStyle w:val="ListParagraph"/>
              <w:numPr>
                <w:ilvl w:val="0"/>
                <w:numId w:val="20"/>
              </w:numPr>
              <w:rPr>
                <w:lang w:val="fr-CH"/>
              </w:rPr>
            </w:pPr>
            <w:r w:rsidRPr="007A2D53">
              <w:rPr>
                <w:lang w:val="fr-CH"/>
              </w:rPr>
              <w:t>E-commerce et Covid-19</w:t>
            </w:r>
          </w:p>
          <w:p w14:paraId="2B8A8638" w14:textId="77777777" w:rsidR="0062227D" w:rsidRDefault="0062227D" w:rsidP="0062227D">
            <w:pPr>
              <w:pStyle w:val="ListParagraph"/>
              <w:numPr>
                <w:ilvl w:val="0"/>
                <w:numId w:val="20"/>
              </w:numPr>
              <w:rPr>
                <w:lang w:val="fr-CH"/>
              </w:rPr>
            </w:pPr>
            <w:r w:rsidRPr="007A2D53">
              <w:rPr>
                <w:lang w:val="fr-FR"/>
              </w:rPr>
              <w:t>Gouvernance</w:t>
            </w:r>
            <w:r w:rsidRPr="007A2D53">
              <w:rPr>
                <w:lang w:val="fr-CH"/>
              </w:rPr>
              <w:t xml:space="preserve"> </w:t>
            </w:r>
            <w:r>
              <w:rPr>
                <w:lang w:val="fr-CH"/>
              </w:rPr>
              <w:t>internationale</w:t>
            </w:r>
            <w:r w:rsidRPr="007A2D53">
              <w:rPr>
                <w:lang w:val="fr-CH"/>
              </w:rPr>
              <w:t xml:space="preserve"> </w:t>
            </w:r>
            <w:r>
              <w:rPr>
                <w:lang w:val="fr-CH"/>
              </w:rPr>
              <w:t>et</w:t>
            </w:r>
            <w:r w:rsidRPr="007A2D53">
              <w:rPr>
                <w:lang w:val="fr-CH"/>
              </w:rPr>
              <w:t xml:space="preserve"> e-c</w:t>
            </w:r>
            <w:r>
              <w:rPr>
                <w:lang w:val="fr-CH"/>
              </w:rPr>
              <w:t>ommerce</w:t>
            </w:r>
          </w:p>
          <w:p w14:paraId="7C4BE49D" w14:textId="77777777" w:rsidR="0062227D" w:rsidRPr="00410621" w:rsidRDefault="0062227D" w:rsidP="0062227D">
            <w:pPr>
              <w:pStyle w:val="ListParagraph"/>
              <w:numPr>
                <w:ilvl w:val="0"/>
                <w:numId w:val="20"/>
              </w:numPr>
              <w:rPr>
                <w:lang w:val="fr-CH"/>
              </w:rPr>
            </w:pPr>
            <w:r>
              <w:rPr>
                <w:lang w:val="fr-CH"/>
              </w:rPr>
              <w:t>Opportunités et défis</w:t>
            </w:r>
          </w:p>
          <w:p w14:paraId="068E45D0" w14:textId="77777777" w:rsidR="0062227D" w:rsidRDefault="0062227D" w:rsidP="00EC4B56">
            <w:pPr>
              <w:rPr>
                <w:b/>
                <w:bCs/>
                <w:lang w:val="fr-FR"/>
              </w:rPr>
            </w:pPr>
          </w:p>
          <w:p w14:paraId="1B18E9E6" w14:textId="77777777" w:rsidR="0062227D" w:rsidRPr="00042C95" w:rsidRDefault="0062227D" w:rsidP="00EC4B56">
            <w:pPr>
              <w:rPr>
                <w:i/>
                <w:iCs/>
                <w:lang w:val="fr-FR"/>
              </w:rPr>
            </w:pPr>
            <w:r w:rsidRPr="00892E55">
              <w:rPr>
                <w:i/>
                <w:iCs/>
                <w:lang w:val="fr-FR"/>
              </w:rPr>
              <w:t>Questions/Réponses</w:t>
            </w:r>
          </w:p>
          <w:p w14:paraId="25D1CBE9" w14:textId="77777777" w:rsidR="0062227D" w:rsidRDefault="0062227D" w:rsidP="00EC4B56">
            <w:pPr>
              <w:rPr>
                <w:b/>
                <w:bCs/>
                <w:lang w:val="fr-FR"/>
              </w:rPr>
            </w:pPr>
          </w:p>
        </w:tc>
        <w:tc>
          <w:tcPr>
            <w:tcW w:w="2415" w:type="dxa"/>
            <w:shd w:val="clear" w:color="auto" w:fill="DAEEF3" w:themeFill="accent5" w:themeFillTint="33"/>
          </w:tcPr>
          <w:p w14:paraId="7C887BB0" w14:textId="77777777" w:rsidR="0062227D" w:rsidRPr="00383993" w:rsidRDefault="0062227D" w:rsidP="00EC4B56">
            <w:pPr>
              <w:jc w:val="right"/>
            </w:pPr>
            <w:r w:rsidRPr="00383993">
              <w:t>Yanis BOURGEOIS</w:t>
            </w:r>
          </w:p>
          <w:p w14:paraId="1AFE0B2C" w14:textId="77777777" w:rsidR="0062227D" w:rsidRPr="00C03E2D" w:rsidRDefault="0062227D" w:rsidP="00EC4B56">
            <w:pPr>
              <w:jc w:val="right"/>
              <w:rPr>
                <w:highlight w:val="yellow"/>
              </w:rPr>
            </w:pPr>
          </w:p>
        </w:tc>
      </w:tr>
      <w:tr w:rsidR="0062227D" w:rsidRPr="00383993" w14:paraId="5E248063"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auto"/>
          </w:tcPr>
          <w:p w14:paraId="43C9D7AD" w14:textId="77777777" w:rsidR="0062227D" w:rsidRPr="00410621" w:rsidRDefault="0062227D" w:rsidP="00EC4B56">
            <w:pPr>
              <w:rPr>
                <w:i/>
                <w:iCs/>
                <w:lang w:val="fr-FR"/>
              </w:rPr>
            </w:pPr>
            <w:r>
              <w:rPr>
                <w:i/>
                <w:iCs/>
                <w:lang w:val="fr-FR"/>
              </w:rPr>
              <w:t>12h00-14h00</w:t>
            </w:r>
          </w:p>
          <w:p w14:paraId="3163E057" w14:textId="77777777" w:rsidR="0062227D" w:rsidRPr="00410621" w:rsidRDefault="0062227D" w:rsidP="00EC4B56">
            <w:pPr>
              <w:rPr>
                <w:i/>
                <w:iCs/>
                <w:lang w:val="fr-FR"/>
              </w:rPr>
            </w:pPr>
          </w:p>
        </w:tc>
        <w:tc>
          <w:tcPr>
            <w:tcW w:w="6804" w:type="dxa"/>
            <w:shd w:val="clear" w:color="auto" w:fill="auto"/>
          </w:tcPr>
          <w:p w14:paraId="5FA230F0" w14:textId="77777777" w:rsidR="0062227D" w:rsidRPr="00410621" w:rsidRDefault="0062227D" w:rsidP="00EC4B56">
            <w:pPr>
              <w:rPr>
                <w:b/>
                <w:bCs/>
                <w:lang w:val="fr-FR"/>
              </w:rPr>
            </w:pPr>
            <w:r w:rsidRPr="00410621">
              <w:rPr>
                <w:lang w:val="fr-FR"/>
              </w:rPr>
              <w:t>(</w:t>
            </w:r>
            <w:r>
              <w:rPr>
                <w:lang w:val="fr-FR"/>
              </w:rPr>
              <w:t>Déjeuner</w:t>
            </w:r>
            <w:r w:rsidRPr="00410621">
              <w:rPr>
                <w:lang w:val="fr-FR"/>
              </w:rPr>
              <w:t>)</w:t>
            </w:r>
          </w:p>
        </w:tc>
        <w:tc>
          <w:tcPr>
            <w:tcW w:w="2415" w:type="dxa"/>
            <w:shd w:val="clear" w:color="auto" w:fill="auto"/>
          </w:tcPr>
          <w:p w14:paraId="6C3C3E07" w14:textId="77777777" w:rsidR="0062227D" w:rsidRPr="00410621" w:rsidRDefault="0062227D" w:rsidP="00EC4B56">
            <w:pPr>
              <w:jc w:val="right"/>
              <w:rPr>
                <w:lang w:val="fr-CH"/>
              </w:rPr>
            </w:pPr>
          </w:p>
        </w:tc>
      </w:tr>
      <w:tr w:rsidR="0062227D" w:rsidRPr="00410621" w14:paraId="7E03D5EE"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DAEEF3" w:themeFill="accent5" w:themeFillTint="33"/>
          </w:tcPr>
          <w:p w14:paraId="395E3AE5" w14:textId="77777777" w:rsidR="0062227D" w:rsidRDefault="0062227D" w:rsidP="00EC4B56">
            <w:pPr>
              <w:rPr>
                <w:i/>
                <w:iCs/>
                <w:lang w:val="fr-FR"/>
              </w:rPr>
            </w:pPr>
            <w:r>
              <w:rPr>
                <w:i/>
                <w:iCs/>
                <w:lang w:val="fr-FR"/>
              </w:rPr>
              <w:t>14h00-16h00</w:t>
            </w:r>
          </w:p>
          <w:p w14:paraId="6F06305D" w14:textId="77777777" w:rsidR="0062227D" w:rsidRDefault="0062227D" w:rsidP="00EC4B56">
            <w:pPr>
              <w:rPr>
                <w:i/>
                <w:iCs/>
                <w:lang w:val="fr-FR"/>
              </w:rPr>
            </w:pPr>
          </w:p>
          <w:p w14:paraId="5B7A636F" w14:textId="77777777" w:rsidR="0062227D" w:rsidRDefault="0062227D" w:rsidP="00EC4B56">
            <w:pPr>
              <w:rPr>
                <w:i/>
                <w:iCs/>
                <w:lang w:val="fr-FR"/>
              </w:rPr>
            </w:pPr>
          </w:p>
          <w:p w14:paraId="014578B6" w14:textId="77777777" w:rsidR="0062227D" w:rsidRDefault="0062227D" w:rsidP="00EC4B56">
            <w:pPr>
              <w:rPr>
                <w:i/>
                <w:iCs/>
                <w:lang w:val="fr-FR"/>
              </w:rPr>
            </w:pPr>
          </w:p>
        </w:tc>
        <w:tc>
          <w:tcPr>
            <w:tcW w:w="6804" w:type="dxa"/>
            <w:shd w:val="clear" w:color="auto" w:fill="DAEEF3" w:themeFill="accent5" w:themeFillTint="33"/>
          </w:tcPr>
          <w:p w14:paraId="61349A5C" w14:textId="77777777" w:rsidR="0062227D" w:rsidRPr="00D83AF7" w:rsidRDefault="0062227D" w:rsidP="00EC4B56">
            <w:pPr>
              <w:rPr>
                <w:b/>
                <w:bCs/>
                <w:lang w:val="fr-FR"/>
              </w:rPr>
            </w:pPr>
            <w:r>
              <w:rPr>
                <w:b/>
                <w:bCs/>
                <w:lang w:val="fr-FR"/>
              </w:rPr>
              <w:t>Discussions multilatérales sur le commerce électronique</w:t>
            </w:r>
          </w:p>
          <w:p w14:paraId="3A1296C3" w14:textId="77777777" w:rsidR="0062227D" w:rsidRDefault="0062227D" w:rsidP="0062227D">
            <w:pPr>
              <w:pStyle w:val="ListParagraph"/>
              <w:numPr>
                <w:ilvl w:val="0"/>
                <w:numId w:val="20"/>
              </w:numPr>
              <w:rPr>
                <w:lang w:val="fr-FR"/>
              </w:rPr>
            </w:pPr>
            <w:r>
              <w:rPr>
                <w:lang w:val="fr-FR"/>
              </w:rPr>
              <w:t>Programme de travail de 1998 sur le commerce électronique</w:t>
            </w:r>
          </w:p>
          <w:p w14:paraId="762E85E3" w14:textId="77777777" w:rsidR="0062227D" w:rsidRDefault="0062227D" w:rsidP="0062227D">
            <w:pPr>
              <w:pStyle w:val="ListParagraph"/>
              <w:numPr>
                <w:ilvl w:val="0"/>
                <w:numId w:val="20"/>
              </w:numPr>
              <w:rPr>
                <w:lang w:val="fr-FR"/>
              </w:rPr>
            </w:pPr>
            <w:r>
              <w:rPr>
                <w:lang w:val="fr-FR"/>
              </w:rPr>
              <w:t>Moratoire sur les droits de douanes sur les transmissions électroniques</w:t>
            </w:r>
          </w:p>
          <w:p w14:paraId="71D34781" w14:textId="77777777" w:rsidR="0062227D" w:rsidRDefault="0062227D" w:rsidP="0062227D">
            <w:pPr>
              <w:pStyle w:val="ListParagraph"/>
              <w:numPr>
                <w:ilvl w:val="0"/>
                <w:numId w:val="20"/>
              </w:numPr>
              <w:rPr>
                <w:lang w:val="fr-FR"/>
              </w:rPr>
            </w:pPr>
            <w:r>
              <w:rPr>
                <w:lang w:val="fr-FR"/>
              </w:rPr>
              <w:t>Décisions de l'OMC sur le e-commerce</w:t>
            </w:r>
          </w:p>
          <w:p w14:paraId="516B0B62" w14:textId="77777777" w:rsidR="0062227D" w:rsidRDefault="0062227D" w:rsidP="00EC4B56">
            <w:pPr>
              <w:rPr>
                <w:lang w:val="fr-FR"/>
              </w:rPr>
            </w:pPr>
          </w:p>
          <w:p w14:paraId="12A0A19F" w14:textId="77777777" w:rsidR="0062227D" w:rsidRPr="00042C95" w:rsidRDefault="0062227D" w:rsidP="00EC4B56">
            <w:pPr>
              <w:rPr>
                <w:i/>
                <w:iCs/>
                <w:lang w:val="fr-FR"/>
              </w:rPr>
            </w:pPr>
            <w:r>
              <w:rPr>
                <w:i/>
                <w:iCs/>
                <w:lang w:val="fr-FR"/>
              </w:rPr>
              <w:t xml:space="preserve">Exercice et </w:t>
            </w:r>
            <w:r w:rsidRPr="00892E55">
              <w:rPr>
                <w:i/>
                <w:iCs/>
                <w:lang w:val="fr-FR"/>
              </w:rPr>
              <w:t>Questions/Réponses</w:t>
            </w:r>
          </w:p>
          <w:p w14:paraId="3764FD45" w14:textId="77777777" w:rsidR="0062227D" w:rsidRPr="00F00011" w:rsidRDefault="0062227D" w:rsidP="00EC4B56">
            <w:pPr>
              <w:pStyle w:val="ListParagraph"/>
              <w:rPr>
                <w:lang w:val="fr-FR"/>
              </w:rPr>
            </w:pPr>
          </w:p>
        </w:tc>
        <w:tc>
          <w:tcPr>
            <w:tcW w:w="2415" w:type="dxa"/>
            <w:shd w:val="clear" w:color="auto" w:fill="DAEEF3" w:themeFill="accent5" w:themeFillTint="33"/>
          </w:tcPr>
          <w:p w14:paraId="385515DC" w14:textId="77777777" w:rsidR="0062227D" w:rsidRPr="00383993" w:rsidRDefault="0062227D" w:rsidP="00EC4B56">
            <w:pPr>
              <w:jc w:val="right"/>
            </w:pPr>
            <w:r w:rsidRPr="00383993">
              <w:t>Yanis BOURGEOIS</w:t>
            </w:r>
          </w:p>
          <w:p w14:paraId="333471F0" w14:textId="77777777" w:rsidR="0062227D" w:rsidRPr="00383993" w:rsidRDefault="0062227D" w:rsidP="00EC4B56">
            <w:pPr>
              <w:jc w:val="right"/>
              <w:rPr>
                <w:lang w:val="fr-CH"/>
              </w:rPr>
            </w:pPr>
          </w:p>
        </w:tc>
      </w:tr>
      <w:tr w:rsidR="0062227D" w14:paraId="0CE63B37" w14:textId="77777777" w:rsidTr="00EC4B56">
        <w:trPr>
          <w:cnfStyle w:val="000000010000" w:firstRow="0" w:lastRow="0" w:firstColumn="0" w:lastColumn="0" w:oddVBand="0" w:evenVBand="0" w:oddHBand="0" w:evenHBand="1" w:firstRowFirstColumn="0" w:firstRowLastColumn="0" w:lastRowFirstColumn="0" w:lastRowLastColumn="0"/>
        </w:trPr>
        <w:tc>
          <w:tcPr>
            <w:tcW w:w="10632" w:type="dxa"/>
            <w:gridSpan w:val="3"/>
            <w:shd w:val="clear" w:color="auto" w:fill="365F91" w:themeFill="accent1" w:themeFillShade="BF"/>
          </w:tcPr>
          <w:p w14:paraId="7433122E" w14:textId="77777777" w:rsidR="0062227D" w:rsidRPr="00D83AF7" w:rsidRDefault="0062227D" w:rsidP="00EC4B56">
            <w:pPr>
              <w:rPr>
                <w:b/>
                <w:bCs/>
                <w:i/>
                <w:iCs/>
                <w:color w:val="FFFFFF" w:themeColor="background1"/>
                <w:lang w:val="fr-FR"/>
              </w:rPr>
            </w:pPr>
          </w:p>
          <w:p w14:paraId="664D5F53" w14:textId="77777777" w:rsidR="0062227D" w:rsidRPr="00D83AF7" w:rsidRDefault="0062227D" w:rsidP="00EC4B56">
            <w:pPr>
              <w:rPr>
                <w:b/>
                <w:bCs/>
                <w:i/>
                <w:iCs/>
                <w:color w:val="FFFFFF" w:themeColor="background1"/>
                <w:lang w:val="fr-FR"/>
              </w:rPr>
            </w:pPr>
            <w:r>
              <w:rPr>
                <w:b/>
                <w:bCs/>
                <w:i/>
                <w:iCs/>
                <w:color w:val="FFFFFF" w:themeColor="background1"/>
                <w:lang w:val="fr-FR"/>
              </w:rPr>
              <w:t>24 novembre 2022</w:t>
            </w:r>
          </w:p>
          <w:p w14:paraId="414EF3A8" w14:textId="77777777" w:rsidR="0062227D" w:rsidRDefault="0062227D" w:rsidP="00EC4B56">
            <w:pPr>
              <w:jc w:val="right"/>
              <w:rPr>
                <w:b/>
                <w:bCs/>
                <w:i/>
                <w:iCs/>
                <w:color w:val="FFFFFF" w:themeColor="background1"/>
              </w:rPr>
            </w:pPr>
          </w:p>
        </w:tc>
      </w:tr>
      <w:tr w:rsidR="0062227D" w14:paraId="7F47AC60"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auto"/>
          </w:tcPr>
          <w:p w14:paraId="777A75E2" w14:textId="77777777" w:rsidR="0062227D" w:rsidRPr="00D83AF7" w:rsidRDefault="0062227D" w:rsidP="00EC4B56">
            <w:pPr>
              <w:rPr>
                <w:i/>
                <w:iCs/>
                <w:lang w:val="fr-FR"/>
              </w:rPr>
            </w:pPr>
            <w:r>
              <w:rPr>
                <w:i/>
                <w:iCs/>
                <w:lang w:val="fr-FR"/>
              </w:rPr>
              <w:t>9h00-10h00</w:t>
            </w:r>
          </w:p>
        </w:tc>
        <w:tc>
          <w:tcPr>
            <w:tcW w:w="6804" w:type="dxa"/>
            <w:shd w:val="clear" w:color="auto" w:fill="auto"/>
          </w:tcPr>
          <w:p w14:paraId="30095531" w14:textId="77777777" w:rsidR="0062227D" w:rsidRDefault="0062227D" w:rsidP="00EC4B56">
            <w:pPr>
              <w:rPr>
                <w:b/>
                <w:bCs/>
                <w:lang w:val="fr-FR"/>
              </w:rPr>
            </w:pPr>
            <w:r>
              <w:rPr>
                <w:b/>
                <w:bCs/>
                <w:lang w:val="fr-FR"/>
              </w:rPr>
              <w:t>Atelier/Echanges sur le moratoire</w:t>
            </w:r>
          </w:p>
          <w:p w14:paraId="7115F677" w14:textId="77777777" w:rsidR="0062227D" w:rsidRDefault="0062227D" w:rsidP="00EC4B56">
            <w:pPr>
              <w:rPr>
                <w:b/>
                <w:bCs/>
                <w:lang w:val="fr-FR"/>
              </w:rPr>
            </w:pPr>
          </w:p>
          <w:p w14:paraId="729D1FE0" w14:textId="77777777" w:rsidR="0062227D" w:rsidRPr="00CA015B" w:rsidRDefault="0062227D" w:rsidP="00EC4B56">
            <w:pPr>
              <w:rPr>
                <w:b/>
                <w:bCs/>
                <w:lang w:val="fr-CH"/>
              </w:rPr>
            </w:pPr>
          </w:p>
        </w:tc>
        <w:tc>
          <w:tcPr>
            <w:tcW w:w="2415" w:type="dxa"/>
            <w:shd w:val="clear" w:color="auto" w:fill="auto"/>
          </w:tcPr>
          <w:p w14:paraId="10DCBCE7" w14:textId="77777777" w:rsidR="0062227D" w:rsidRPr="007C5BB6" w:rsidRDefault="0062227D" w:rsidP="00EC4B56">
            <w:pPr>
              <w:jc w:val="right"/>
            </w:pPr>
            <w:r w:rsidRPr="009F7004">
              <w:t>Yanis BOURGEOIS</w:t>
            </w:r>
          </w:p>
        </w:tc>
      </w:tr>
      <w:tr w:rsidR="0062227D" w14:paraId="6416CE6B"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DAEEF3" w:themeFill="accent5" w:themeFillTint="33"/>
          </w:tcPr>
          <w:p w14:paraId="7BACE37F" w14:textId="77777777" w:rsidR="0062227D" w:rsidRPr="00892E55" w:rsidRDefault="0062227D" w:rsidP="00EC4B56">
            <w:pPr>
              <w:rPr>
                <w:i/>
                <w:iCs/>
                <w:lang w:val="fr-FR"/>
              </w:rPr>
            </w:pPr>
            <w:r>
              <w:rPr>
                <w:i/>
                <w:iCs/>
                <w:lang w:val="fr-FR"/>
              </w:rPr>
              <w:t>10h00-12h00</w:t>
            </w:r>
          </w:p>
          <w:p w14:paraId="32A06C75" w14:textId="77777777" w:rsidR="0062227D" w:rsidRDefault="0062227D" w:rsidP="00EC4B56">
            <w:pPr>
              <w:rPr>
                <w:i/>
                <w:iCs/>
                <w:lang w:val="fr-FR"/>
              </w:rPr>
            </w:pPr>
          </w:p>
        </w:tc>
        <w:tc>
          <w:tcPr>
            <w:tcW w:w="6804" w:type="dxa"/>
            <w:shd w:val="clear" w:color="auto" w:fill="DAEEF3" w:themeFill="accent5" w:themeFillTint="33"/>
          </w:tcPr>
          <w:p w14:paraId="4F6D9EF1" w14:textId="77777777" w:rsidR="0062227D" w:rsidRPr="003169CF" w:rsidRDefault="0062227D" w:rsidP="00EC4B56">
            <w:pPr>
              <w:rPr>
                <w:b/>
                <w:bCs/>
                <w:lang w:val="fr-FR"/>
              </w:rPr>
            </w:pPr>
            <w:r w:rsidRPr="003169CF">
              <w:rPr>
                <w:b/>
                <w:bCs/>
                <w:lang w:val="fr-FR"/>
              </w:rPr>
              <w:t>Négociations plurilatérales sur le commerce électronique</w:t>
            </w:r>
            <w:r>
              <w:rPr>
                <w:b/>
                <w:bCs/>
                <w:lang w:val="fr-FR"/>
              </w:rPr>
              <w:t xml:space="preserve"> </w:t>
            </w:r>
          </w:p>
          <w:p w14:paraId="3B77669B" w14:textId="77777777" w:rsidR="0062227D" w:rsidRPr="003169CF" w:rsidRDefault="0062227D" w:rsidP="0062227D">
            <w:pPr>
              <w:pStyle w:val="ListParagraph"/>
              <w:numPr>
                <w:ilvl w:val="0"/>
                <w:numId w:val="20"/>
              </w:numPr>
              <w:rPr>
                <w:lang w:val="fr-FR"/>
              </w:rPr>
            </w:pPr>
            <w:r w:rsidRPr="003169CF">
              <w:rPr>
                <w:lang w:val="fr-FR"/>
              </w:rPr>
              <w:t>Evolution et aperçu des négociations en cours au sein de l'initiative conjointe sur le commerce électronique</w:t>
            </w:r>
          </w:p>
          <w:p w14:paraId="6EA82717" w14:textId="77777777" w:rsidR="0062227D" w:rsidRDefault="0062227D" w:rsidP="0062227D">
            <w:pPr>
              <w:pStyle w:val="ListParagraph"/>
              <w:numPr>
                <w:ilvl w:val="0"/>
                <w:numId w:val="20"/>
              </w:numPr>
              <w:rPr>
                <w:lang w:val="fr-FR"/>
              </w:rPr>
            </w:pPr>
            <w:r w:rsidRPr="003169CF">
              <w:rPr>
                <w:lang w:val="fr-FR"/>
              </w:rPr>
              <w:t>Aperçu des différents sujets négociés</w:t>
            </w:r>
            <w:r>
              <w:rPr>
                <w:lang w:val="fr-FR"/>
              </w:rPr>
              <w:t xml:space="preserve"> </w:t>
            </w:r>
            <w:r w:rsidRPr="003169CF">
              <w:rPr>
                <w:lang w:val="fr-FR"/>
              </w:rPr>
              <w:t>et prochaines étapes dans les négociations</w:t>
            </w:r>
          </w:p>
          <w:p w14:paraId="43F094F1" w14:textId="77777777" w:rsidR="0062227D" w:rsidRDefault="0062227D" w:rsidP="0062227D">
            <w:pPr>
              <w:pStyle w:val="ListParagraph"/>
              <w:numPr>
                <w:ilvl w:val="0"/>
                <w:numId w:val="20"/>
              </w:numPr>
              <w:rPr>
                <w:lang w:val="fr-FR"/>
              </w:rPr>
            </w:pPr>
            <w:r>
              <w:rPr>
                <w:lang w:val="fr-FR"/>
              </w:rPr>
              <w:t>Etude des r</w:t>
            </w:r>
            <w:r w:rsidRPr="003169CF">
              <w:rPr>
                <w:lang w:val="fr-FR"/>
              </w:rPr>
              <w:t xml:space="preserve">ésultats obtenus </w:t>
            </w:r>
          </w:p>
          <w:p w14:paraId="7F8EB77D" w14:textId="77777777" w:rsidR="0062227D" w:rsidRDefault="0062227D" w:rsidP="0062227D">
            <w:pPr>
              <w:pStyle w:val="ListParagraph"/>
              <w:numPr>
                <w:ilvl w:val="0"/>
                <w:numId w:val="20"/>
              </w:numPr>
              <w:rPr>
                <w:lang w:val="fr-FR"/>
              </w:rPr>
            </w:pPr>
            <w:r>
              <w:rPr>
                <w:lang w:val="fr-FR"/>
              </w:rPr>
              <w:t>Articles en cours de négociation</w:t>
            </w:r>
          </w:p>
          <w:p w14:paraId="212243BA" w14:textId="77777777" w:rsidR="0062227D" w:rsidRPr="009367DF" w:rsidRDefault="0062227D" w:rsidP="0062227D">
            <w:pPr>
              <w:pStyle w:val="ListParagraph"/>
              <w:numPr>
                <w:ilvl w:val="0"/>
                <w:numId w:val="20"/>
              </w:numPr>
              <w:rPr>
                <w:lang w:val="fr-FR"/>
              </w:rPr>
            </w:pPr>
            <w:r w:rsidRPr="009367DF">
              <w:rPr>
                <w:lang w:val="fr-FR"/>
              </w:rPr>
              <w:t>Défis liés à l'architecture juridique et à la substance des négociations</w:t>
            </w:r>
          </w:p>
          <w:p w14:paraId="3A8D003A" w14:textId="77777777" w:rsidR="0062227D" w:rsidRPr="00752AEA" w:rsidRDefault="0062227D" w:rsidP="0062227D">
            <w:pPr>
              <w:pStyle w:val="ListParagraph"/>
              <w:numPr>
                <w:ilvl w:val="0"/>
                <w:numId w:val="20"/>
              </w:numPr>
              <w:rPr>
                <w:lang w:val="fr-FR"/>
              </w:rPr>
            </w:pPr>
            <w:r w:rsidRPr="009367DF">
              <w:rPr>
                <w:lang w:val="fr-FR"/>
              </w:rPr>
              <w:t>Ouverture sur d'autres initiatives</w:t>
            </w:r>
          </w:p>
          <w:p w14:paraId="4E4E79C0" w14:textId="77777777" w:rsidR="0062227D" w:rsidRPr="009367DF" w:rsidRDefault="0062227D" w:rsidP="00EC4B56">
            <w:pPr>
              <w:pStyle w:val="ListParagraph"/>
              <w:rPr>
                <w:lang w:val="fr-FR"/>
              </w:rPr>
            </w:pPr>
          </w:p>
          <w:p w14:paraId="33A19BEF" w14:textId="77777777" w:rsidR="0062227D" w:rsidRPr="00A91E59" w:rsidRDefault="0062227D" w:rsidP="00EC4B56">
            <w:pPr>
              <w:rPr>
                <w:i/>
                <w:iCs/>
                <w:lang w:val="fr-FR"/>
              </w:rPr>
            </w:pPr>
            <w:r>
              <w:rPr>
                <w:i/>
                <w:iCs/>
                <w:lang w:val="fr-FR"/>
              </w:rPr>
              <w:t xml:space="preserve">Exercice et </w:t>
            </w:r>
            <w:r w:rsidRPr="00A91E59">
              <w:rPr>
                <w:i/>
                <w:iCs/>
                <w:lang w:val="fr-FR"/>
              </w:rPr>
              <w:t>Questions/Réponses</w:t>
            </w:r>
          </w:p>
          <w:p w14:paraId="59E7E9DA" w14:textId="77777777" w:rsidR="0062227D" w:rsidRDefault="0062227D" w:rsidP="00EC4B56">
            <w:pPr>
              <w:rPr>
                <w:b/>
                <w:bCs/>
                <w:lang w:val="fr-FR"/>
              </w:rPr>
            </w:pPr>
          </w:p>
        </w:tc>
        <w:tc>
          <w:tcPr>
            <w:tcW w:w="2415" w:type="dxa"/>
            <w:shd w:val="clear" w:color="auto" w:fill="DAEEF3" w:themeFill="accent5" w:themeFillTint="33"/>
          </w:tcPr>
          <w:p w14:paraId="31033BB8" w14:textId="77777777" w:rsidR="0062227D" w:rsidRPr="009F7004" w:rsidRDefault="0062227D" w:rsidP="00EC4B56">
            <w:pPr>
              <w:jc w:val="right"/>
            </w:pPr>
            <w:r w:rsidRPr="009F7004">
              <w:t>Yanis BOURGEOIS</w:t>
            </w:r>
          </w:p>
        </w:tc>
      </w:tr>
      <w:tr w:rsidR="0062227D" w:rsidRPr="00892E55" w14:paraId="011ED100"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auto"/>
          </w:tcPr>
          <w:p w14:paraId="59F9D123" w14:textId="77777777" w:rsidR="0062227D" w:rsidRDefault="0062227D" w:rsidP="00EC4B56">
            <w:pPr>
              <w:rPr>
                <w:i/>
                <w:iCs/>
                <w:lang w:val="fr-FR"/>
              </w:rPr>
            </w:pPr>
            <w:r>
              <w:rPr>
                <w:i/>
                <w:iCs/>
                <w:lang w:val="fr-FR"/>
              </w:rPr>
              <w:t>12h00-14h00</w:t>
            </w:r>
          </w:p>
        </w:tc>
        <w:tc>
          <w:tcPr>
            <w:tcW w:w="6804" w:type="dxa"/>
            <w:shd w:val="clear" w:color="auto" w:fill="auto"/>
          </w:tcPr>
          <w:p w14:paraId="5FD905A1" w14:textId="77777777" w:rsidR="0062227D" w:rsidRDefault="0062227D" w:rsidP="00EC4B56">
            <w:pPr>
              <w:rPr>
                <w:b/>
                <w:bCs/>
                <w:lang w:val="fr-FR"/>
              </w:rPr>
            </w:pPr>
            <w:r w:rsidRPr="00410621">
              <w:rPr>
                <w:lang w:val="fr-FR"/>
              </w:rPr>
              <w:t>(</w:t>
            </w:r>
            <w:r>
              <w:rPr>
                <w:lang w:val="fr-FR"/>
              </w:rPr>
              <w:t>Déjeuner</w:t>
            </w:r>
            <w:r w:rsidRPr="00410621">
              <w:rPr>
                <w:lang w:val="fr-FR"/>
              </w:rPr>
              <w:t>)</w:t>
            </w:r>
          </w:p>
          <w:p w14:paraId="23B9CA21" w14:textId="77777777" w:rsidR="0062227D" w:rsidRDefault="0062227D" w:rsidP="00EC4B56">
            <w:pPr>
              <w:rPr>
                <w:b/>
                <w:bCs/>
                <w:lang w:val="fr-FR"/>
              </w:rPr>
            </w:pPr>
          </w:p>
          <w:p w14:paraId="298C2942" w14:textId="77777777" w:rsidR="0062227D" w:rsidRPr="004610D0" w:rsidRDefault="0062227D" w:rsidP="00EC4B56">
            <w:pPr>
              <w:rPr>
                <w:b/>
                <w:bCs/>
                <w:lang w:val="fr-CH"/>
              </w:rPr>
            </w:pPr>
          </w:p>
        </w:tc>
        <w:tc>
          <w:tcPr>
            <w:tcW w:w="2415" w:type="dxa"/>
            <w:shd w:val="clear" w:color="auto" w:fill="auto"/>
          </w:tcPr>
          <w:p w14:paraId="01179795" w14:textId="77777777" w:rsidR="0062227D" w:rsidRPr="000E357C" w:rsidRDefault="0062227D" w:rsidP="00EC4B56">
            <w:pPr>
              <w:jc w:val="right"/>
              <w:rPr>
                <w:lang w:val="fr-CH"/>
              </w:rPr>
            </w:pPr>
          </w:p>
        </w:tc>
      </w:tr>
      <w:tr w:rsidR="0062227D" w:rsidRPr="00892E55" w14:paraId="2B4A498B"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DAEEF3" w:themeFill="accent5" w:themeFillTint="33"/>
          </w:tcPr>
          <w:p w14:paraId="1644A460" w14:textId="77777777" w:rsidR="0062227D" w:rsidRDefault="0062227D" w:rsidP="00EC4B56">
            <w:pPr>
              <w:rPr>
                <w:i/>
                <w:iCs/>
                <w:lang w:val="fr-FR"/>
              </w:rPr>
            </w:pPr>
            <w:r>
              <w:rPr>
                <w:i/>
                <w:iCs/>
                <w:lang w:val="fr-FR"/>
              </w:rPr>
              <w:t>14h00-16h00</w:t>
            </w:r>
          </w:p>
          <w:p w14:paraId="6262BEC4" w14:textId="77777777" w:rsidR="0062227D" w:rsidRDefault="0062227D" w:rsidP="00EC4B56">
            <w:pPr>
              <w:rPr>
                <w:i/>
                <w:iCs/>
                <w:lang w:val="fr-FR"/>
              </w:rPr>
            </w:pPr>
          </w:p>
        </w:tc>
        <w:tc>
          <w:tcPr>
            <w:tcW w:w="6804" w:type="dxa"/>
            <w:shd w:val="clear" w:color="auto" w:fill="DAEEF3" w:themeFill="accent5" w:themeFillTint="33"/>
          </w:tcPr>
          <w:p w14:paraId="013D4621" w14:textId="77777777" w:rsidR="0062227D" w:rsidRDefault="0062227D" w:rsidP="00EC4B56">
            <w:pPr>
              <w:rPr>
                <w:b/>
                <w:bCs/>
                <w:lang w:val="fr-FR"/>
              </w:rPr>
            </w:pPr>
            <w:r w:rsidRPr="007A79A2">
              <w:rPr>
                <w:b/>
                <w:bCs/>
                <w:lang w:val="fr-FR"/>
              </w:rPr>
              <w:t xml:space="preserve">Réglementation intérieure </w:t>
            </w:r>
            <w:r>
              <w:rPr>
                <w:b/>
                <w:bCs/>
                <w:lang w:val="fr-FR"/>
              </w:rPr>
              <w:t>et l'</w:t>
            </w:r>
            <w:r w:rsidRPr="007A79A2">
              <w:rPr>
                <w:b/>
                <w:bCs/>
                <w:lang w:val="fr-FR"/>
              </w:rPr>
              <w:t xml:space="preserve">Accord général sur le commerce des services </w:t>
            </w:r>
            <w:r>
              <w:rPr>
                <w:b/>
                <w:bCs/>
                <w:lang w:val="fr-FR"/>
              </w:rPr>
              <w:t>(AGCS)</w:t>
            </w:r>
          </w:p>
          <w:p w14:paraId="26B7FE69" w14:textId="77777777" w:rsidR="0062227D" w:rsidRDefault="0062227D" w:rsidP="0062227D">
            <w:pPr>
              <w:pStyle w:val="ListParagraph"/>
              <w:numPr>
                <w:ilvl w:val="0"/>
                <w:numId w:val="37"/>
              </w:numPr>
              <w:rPr>
                <w:lang w:val="fr-FR"/>
              </w:rPr>
            </w:pPr>
            <w:r w:rsidRPr="007A79A2">
              <w:rPr>
                <w:lang w:val="fr-FR"/>
              </w:rPr>
              <w:t>Bref examen des principales caractéristiques de l'AGCS</w:t>
            </w:r>
          </w:p>
          <w:p w14:paraId="7BA7D23E" w14:textId="77777777" w:rsidR="0062227D" w:rsidRPr="006D4830" w:rsidRDefault="0062227D" w:rsidP="0062227D">
            <w:pPr>
              <w:pStyle w:val="ListParagraph"/>
              <w:numPr>
                <w:ilvl w:val="0"/>
                <w:numId w:val="37"/>
              </w:numPr>
              <w:rPr>
                <w:lang w:val="fr-FR"/>
              </w:rPr>
            </w:pPr>
            <w:r w:rsidRPr="006D4830">
              <w:rPr>
                <w:lang w:val="fr-FR"/>
              </w:rPr>
              <w:t xml:space="preserve">Disciplines réglementaires existantes dans l'AGCS </w:t>
            </w:r>
          </w:p>
          <w:p w14:paraId="70398088" w14:textId="77777777" w:rsidR="0062227D" w:rsidRDefault="0062227D" w:rsidP="0062227D">
            <w:pPr>
              <w:pStyle w:val="ListParagraph"/>
              <w:numPr>
                <w:ilvl w:val="0"/>
                <w:numId w:val="32"/>
              </w:numPr>
              <w:rPr>
                <w:lang w:val="fr-FR"/>
              </w:rPr>
            </w:pPr>
            <w:r w:rsidRPr="00C02367">
              <w:rPr>
                <w:rFonts w:cs="Calibri"/>
                <w:lang w:val="fr-FR"/>
              </w:rPr>
              <w:t>É</w:t>
            </w:r>
            <w:r>
              <w:rPr>
                <w:lang w:val="fr-FR"/>
              </w:rPr>
              <w:t xml:space="preserve">volution </w:t>
            </w:r>
            <w:r w:rsidRPr="00ED2982">
              <w:rPr>
                <w:lang w:val="fr-FR"/>
              </w:rPr>
              <w:t>des négociations sur la réglementation intérieure</w:t>
            </w:r>
            <w:r>
              <w:rPr>
                <w:lang w:val="fr-FR"/>
              </w:rPr>
              <w:t xml:space="preserve"> au sein de l'OMC</w:t>
            </w:r>
          </w:p>
          <w:p w14:paraId="6904C821" w14:textId="77777777" w:rsidR="0062227D" w:rsidRDefault="0062227D" w:rsidP="00EC4B56">
            <w:pPr>
              <w:rPr>
                <w:lang w:val="fr-FR"/>
              </w:rPr>
            </w:pPr>
          </w:p>
          <w:p w14:paraId="777E9B63" w14:textId="77777777" w:rsidR="0062227D" w:rsidRPr="00497148" w:rsidRDefault="0062227D" w:rsidP="00EC4B56">
            <w:pPr>
              <w:rPr>
                <w:i/>
                <w:iCs/>
                <w:lang w:val="fr-FR"/>
              </w:rPr>
            </w:pPr>
            <w:r w:rsidRPr="00497148">
              <w:rPr>
                <w:i/>
                <w:iCs/>
                <w:lang w:val="fr-FR"/>
              </w:rPr>
              <w:t xml:space="preserve">Exercice et </w:t>
            </w:r>
            <w:r>
              <w:rPr>
                <w:i/>
                <w:iCs/>
                <w:lang w:val="fr-FR"/>
              </w:rPr>
              <w:t>Q</w:t>
            </w:r>
            <w:r w:rsidRPr="00497148">
              <w:rPr>
                <w:i/>
                <w:iCs/>
                <w:lang w:val="fr-FR"/>
              </w:rPr>
              <w:t>uestions/Réponses</w:t>
            </w:r>
          </w:p>
          <w:p w14:paraId="4F1C1967" w14:textId="77777777" w:rsidR="0062227D" w:rsidRPr="00410621" w:rsidRDefault="0062227D" w:rsidP="00EC4B56">
            <w:pPr>
              <w:rPr>
                <w:lang w:val="fr-FR"/>
              </w:rPr>
            </w:pPr>
          </w:p>
        </w:tc>
        <w:tc>
          <w:tcPr>
            <w:tcW w:w="2415" w:type="dxa"/>
            <w:shd w:val="clear" w:color="auto" w:fill="DAEEF3" w:themeFill="accent5" w:themeFillTint="33"/>
          </w:tcPr>
          <w:p w14:paraId="040768C0" w14:textId="77777777" w:rsidR="0062227D" w:rsidRPr="000E357C" w:rsidRDefault="0062227D" w:rsidP="00EC4B56">
            <w:pPr>
              <w:jc w:val="right"/>
              <w:rPr>
                <w:lang w:val="fr-CH"/>
              </w:rPr>
            </w:pPr>
            <w:r w:rsidRPr="000E357C">
              <w:rPr>
                <w:lang w:val="fr-CH"/>
              </w:rPr>
              <w:lastRenderedPageBreak/>
              <w:t>Elena BERTOLA</w:t>
            </w:r>
          </w:p>
        </w:tc>
      </w:tr>
      <w:tr w:rsidR="0062227D" w:rsidRPr="00892E55" w14:paraId="6C2F4701" w14:textId="77777777" w:rsidTr="00EC4B56">
        <w:trPr>
          <w:cnfStyle w:val="000000100000" w:firstRow="0" w:lastRow="0" w:firstColumn="0" w:lastColumn="0" w:oddVBand="0" w:evenVBand="0" w:oddHBand="1" w:evenHBand="0" w:firstRowFirstColumn="0" w:firstRowLastColumn="0" w:lastRowFirstColumn="0" w:lastRowLastColumn="0"/>
        </w:trPr>
        <w:tc>
          <w:tcPr>
            <w:tcW w:w="10632" w:type="dxa"/>
            <w:gridSpan w:val="3"/>
            <w:shd w:val="clear" w:color="auto" w:fill="365F91" w:themeFill="accent1" w:themeFillShade="BF"/>
          </w:tcPr>
          <w:p w14:paraId="5BF43163" w14:textId="77777777" w:rsidR="0062227D" w:rsidRDefault="0062227D" w:rsidP="00EC4B56">
            <w:pPr>
              <w:rPr>
                <w:i/>
                <w:iCs/>
                <w:lang w:val="fr-FR"/>
              </w:rPr>
            </w:pPr>
          </w:p>
          <w:p w14:paraId="42177F47" w14:textId="77777777" w:rsidR="0062227D" w:rsidRPr="004610D0" w:rsidRDefault="0062227D" w:rsidP="00EC4B56">
            <w:pPr>
              <w:rPr>
                <w:b/>
                <w:bCs/>
                <w:i/>
                <w:iCs/>
                <w:color w:val="FFFFFF" w:themeColor="background1"/>
                <w:lang w:val="fr-FR"/>
              </w:rPr>
            </w:pPr>
            <w:r>
              <w:rPr>
                <w:b/>
                <w:bCs/>
                <w:i/>
                <w:iCs/>
                <w:color w:val="FFFFFF" w:themeColor="background1"/>
                <w:lang w:val="fr-FR"/>
              </w:rPr>
              <w:t>25 novembre 2022</w:t>
            </w:r>
          </w:p>
          <w:p w14:paraId="1A7A983E" w14:textId="77777777" w:rsidR="0062227D" w:rsidRPr="009F7004" w:rsidRDefault="0062227D" w:rsidP="00EC4B56">
            <w:pPr>
              <w:jc w:val="right"/>
            </w:pPr>
          </w:p>
        </w:tc>
      </w:tr>
      <w:tr w:rsidR="0062227D" w:rsidRPr="00892E55" w14:paraId="6AB1BF95"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auto"/>
          </w:tcPr>
          <w:p w14:paraId="6CC3F250" w14:textId="77777777" w:rsidR="0062227D" w:rsidRDefault="0062227D" w:rsidP="00EC4B56">
            <w:pPr>
              <w:rPr>
                <w:i/>
                <w:iCs/>
                <w:lang w:val="fr-FR"/>
              </w:rPr>
            </w:pPr>
            <w:r>
              <w:rPr>
                <w:i/>
                <w:iCs/>
                <w:lang w:val="fr-FR"/>
              </w:rPr>
              <w:t>9</w:t>
            </w:r>
            <w:r w:rsidRPr="00ED2982">
              <w:rPr>
                <w:i/>
                <w:iCs/>
                <w:lang w:val="fr-FR"/>
              </w:rPr>
              <w:t>h00-</w:t>
            </w:r>
          </w:p>
          <w:p w14:paraId="3433D821" w14:textId="77777777" w:rsidR="0062227D" w:rsidRDefault="0062227D" w:rsidP="00EC4B56">
            <w:pPr>
              <w:rPr>
                <w:i/>
                <w:iCs/>
                <w:lang w:val="fr-FR"/>
              </w:rPr>
            </w:pPr>
            <w:r w:rsidRPr="00ED2982">
              <w:rPr>
                <w:i/>
                <w:iCs/>
                <w:lang w:val="fr-FR"/>
              </w:rPr>
              <w:t>1</w:t>
            </w:r>
            <w:r>
              <w:rPr>
                <w:i/>
                <w:iCs/>
                <w:lang w:val="fr-FR"/>
              </w:rPr>
              <w:t>2</w:t>
            </w:r>
            <w:r w:rsidRPr="00ED2982">
              <w:rPr>
                <w:i/>
                <w:iCs/>
                <w:lang w:val="fr-FR"/>
              </w:rPr>
              <w:t>h00</w:t>
            </w:r>
          </w:p>
          <w:p w14:paraId="43F74793" w14:textId="77777777" w:rsidR="0062227D" w:rsidRDefault="0062227D" w:rsidP="00EC4B56">
            <w:pPr>
              <w:rPr>
                <w:i/>
                <w:iCs/>
                <w:lang w:val="fr-FR"/>
              </w:rPr>
            </w:pPr>
          </w:p>
          <w:p w14:paraId="0081A73A" w14:textId="77777777" w:rsidR="0062227D" w:rsidRDefault="0062227D" w:rsidP="00EC4B56">
            <w:pPr>
              <w:rPr>
                <w:i/>
                <w:iCs/>
                <w:lang w:val="fr-FR"/>
              </w:rPr>
            </w:pPr>
          </w:p>
          <w:p w14:paraId="08F900DD" w14:textId="77777777" w:rsidR="0062227D" w:rsidRDefault="0062227D" w:rsidP="00EC4B56">
            <w:pPr>
              <w:rPr>
                <w:i/>
                <w:iCs/>
                <w:lang w:val="fr-FR"/>
              </w:rPr>
            </w:pPr>
          </w:p>
          <w:p w14:paraId="53A2D8E1" w14:textId="77777777" w:rsidR="0062227D" w:rsidRDefault="0062227D" w:rsidP="00EC4B56">
            <w:pPr>
              <w:rPr>
                <w:i/>
                <w:iCs/>
                <w:lang w:val="fr-FR"/>
              </w:rPr>
            </w:pPr>
          </w:p>
        </w:tc>
        <w:tc>
          <w:tcPr>
            <w:tcW w:w="6804" w:type="dxa"/>
            <w:shd w:val="clear" w:color="auto" w:fill="auto"/>
          </w:tcPr>
          <w:p w14:paraId="296716BB" w14:textId="77777777" w:rsidR="0062227D" w:rsidRPr="002E2D36" w:rsidRDefault="0062227D" w:rsidP="00EC4B56">
            <w:pPr>
              <w:rPr>
                <w:b/>
                <w:bCs/>
                <w:lang w:val="fr-FR"/>
              </w:rPr>
            </w:pPr>
            <w:r w:rsidRPr="00ED2982">
              <w:rPr>
                <w:b/>
                <w:bCs/>
                <w:lang w:val="fr-FR"/>
              </w:rPr>
              <w:t>Réglementation intérieure</w:t>
            </w:r>
            <w:r>
              <w:rPr>
                <w:b/>
                <w:bCs/>
                <w:lang w:val="fr-FR"/>
              </w:rPr>
              <w:t xml:space="preserve"> –</w:t>
            </w:r>
            <w:r w:rsidRPr="002E2D36">
              <w:rPr>
                <w:b/>
                <w:bCs/>
                <w:lang w:val="fr-FR"/>
              </w:rPr>
              <w:t xml:space="preserve"> </w:t>
            </w:r>
            <w:r>
              <w:rPr>
                <w:b/>
                <w:bCs/>
                <w:lang w:val="fr-FR"/>
              </w:rPr>
              <w:t>L</w:t>
            </w:r>
            <w:r w:rsidRPr="00432B9D">
              <w:rPr>
                <w:b/>
                <w:bCs/>
                <w:lang w:val="fr-FR"/>
              </w:rPr>
              <w:t>e</w:t>
            </w:r>
            <w:r>
              <w:rPr>
                <w:b/>
                <w:bCs/>
                <w:lang w:val="fr-FR"/>
              </w:rPr>
              <w:t>s</w:t>
            </w:r>
            <w:r w:rsidRPr="00432B9D">
              <w:rPr>
                <w:b/>
                <w:bCs/>
                <w:lang w:val="fr-FR"/>
              </w:rPr>
              <w:t xml:space="preserve"> résultat</w:t>
            </w:r>
            <w:r>
              <w:rPr>
                <w:b/>
                <w:bCs/>
                <w:lang w:val="fr-FR"/>
              </w:rPr>
              <w:t>s</w:t>
            </w:r>
            <w:r w:rsidRPr="00432B9D">
              <w:rPr>
                <w:b/>
                <w:bCs/>
                <w:lang w:val="fr-FR"/>
              </w:rPr>
              <w:t xml:space="preserve"> adopté</w:t>
            </w:r>
            <w:r>
              <w:rPr>
                <w:b/>
                <w:bCs/>
                <w:lang w:val="fr-FR"/>
              </w:rPr>
              <w:t xml:space="preserve">s </w:t>
            </w:r>
            <w:r w:rsidRPr="002E2D36">
              <w:rPr>
                <w:b/>
                <w:bCs/>
                <w:lang w:val="fr-FR"/>
              </w:rPr>
              <w:t xml:space="preserve">par l'Initiative conjointe </w:t>
            </w:r>
          </w:p>
          <w:p w14:paraId="72DFBDC7" w14:textId="77777777" w:rsidR="0062227D" w:rsidRPr="00042C95" w:rsidRDefault="0062227D" w:rsidP="0062227D">
            <w:pPr>
              <w:pStyle w:val="ListParagraph"/>
              <w:numPr>
                <w:ilvl w:val="0"/>
                <w:numId w:val="36"/>
              </w:numPr>
              <w:rPr>
                <w:lang w:val="fr-FR"/>
              </w:rPr>
            </w:pPr>
            <w:r w:rsidRPr="00ED2982">
              <w:rPr>
                <w:lang w:val="fr-FR"/>
              </w:rPr>
              <w:t>Origine des négociations au sein de l'Initiative conjointe sur la réglementation intérieure dans le domaine des services</w:t>
            </w:r>
          </w:p>
          <w:p w14:paraId="0C805DD4" w14:textId="77777777" w:rsidR="0062227D" w:rsidRDefault="0062227D" w:rsidP="0062227D">
            <w:pPr>
              <w:pStyle w:val="ListParagraph"/>
              <w:numPr>
                <w:ilvl w:val="0"/>
                <w:numId w:val="36"/>
              </w:numPr>
              <w:rPr>
                <w:lang w:val="fr-FR"/>
              </w:rPr>
            </w:pPr>
            <w:r>
              <w:rPr>
                <w:lang w:val="fr-FR"/>
              </w:rPr>
              <w:t xml:space="preserve">La Déclaration sur la conclusion des négociations adoptée le 2 décembre 2021 </w:t>
            </w:r>
          </w:p>
          <w:p w14:paraId="339C3C19" w14:textId="77777777" w:rsidR="0062227D" w:rsidRPr="002E2D36" w:rsidRDefault="0062227D" w:rsidP="0062227D">
            <w:pPr>
              <w:pStyle w:val="ListParagraph"/>
              <w:numPr>
                <w:ilvl w:val="0"/>
                <w:numId w:val="36"/>
              </w:numPr>
              <w:rPr>
                <w:lang w:val="fr-FR"/>
              </w:rPr>
            </w:pPr>
            <w:r>
              <w:rPr>
                <w:lang w:val="fr-FR"/>
              </w:rPr>
              <w:t>Le D</w:t>
            </w:r>
            <w:r w:rsidRPr="00197F83">
              <w:rPr>
                <w:lang w:val="fr-FR"/>
              </w:rPr>
              <w:t>ocument de référence</w:t>
            </w:r>
            <w:r>
              <w:rPr>
                <w:lang w:val="fr-FR"/>
              </w:rPr>
              <w:t xml:space="preserve"> :</w:t>
            </w:r>
            <w:r w:rsidRPr="002E2D36">
              <w:rPr>
                <w:lang w:val="fr-FR"/>
              </w:rPr>
              <w:t xml:space="preserve"> </w:t>
            </w:r>
            <w:r>
              <w:rPr>
                <w:lang w:val="fr-FR"/>
              </w:rPr>
              <w:t>c</w:t>
            </w:r>
            <w:r w:rsidRPr="002E2D36">
              <w:rPr>
                <w:lang w:val="fr-FR"/>
              </w:rPr>
              <w:t>hamp d'application</w:t>
            </w:r>
            <w:r>
              <w:rPr>
                <w:lang w:val="fr-FR"/>
              </w:rPr>
              <w:t xml:space="preserve">, </w:t>
            </w:r>
            <w:r w:rsidRPr="002E2D36">
              <w:rPr>
                <w:lang w:val="fr-FR"/>
              </w:rPr>
              <w:t>modalité</w:t>
            </w:r>
            <w:r>
              <w:rPr>
                <w:lang w:val="fr-FR"/>
              </w:rPr>
              <w:t>s et</w:t>
            </w:r>
            <w:r w:rsidRPr="002E2D36">
              <w:rPr>
                <w:lang w:val="fr-FR"/>
              </w:rPr>
              <w:t xml:space="preserve"> développement</w:t>
            </w:r>
          </w:p>
          <w:p w14:paraId="0BBA59C3" w14:textId="77777777" w:rsidR="0062227D" w:rsidRPr="00197F83" w:rsidRDefault="0062227D" w:rsidP="0062227D">
            <w:pPr>
              <w:pStyle w:val="ListParagraph"/>
              <w:numPr>
                <w:ilvl w:val="0"/>
                <w:numId w:val="36"/>
              </w:numPr>
              <w:rPr>
                <w:lang w:val="fr-FR"/>
              </w:rPr>
            </w:pPr>
            <w:r>
              <w:rPr>
                <w:lang w:val="fr-FR"/>
              </w:rPr>
              <w:t>Les objectifs des d</w:t>
            </w:r>
            <w:r w:rsidRPr="00197F83">
              <w:rPr>
                <w:lang w:val="fr-FR"/>
              </w:rPr>
              <w:t>isciplines</w:t>
            </w:r>
            <w:r>
              <w:rPr>
                <w:lang w:val="fr-FR"/>
              </w:rPr>
              <w:t xml:space="preserve"> :</w:t>
            </w:r>
            <w:r w:rsidRPr="00197F83">
              <w:rPr>
                <w:lang w:val="fr-FR"/>
              </w:rPr>
              <w:t xml:space="preserve"> transparence</w:t>
            </w:r>
            <w:r>
              <w:rPr>
                <w:lang w:val="fr-FR"/>
              </w:rPr>
              <w:t xml:space="preserve"> </w:t>
            </w:r>
            <w:r w:rsidRPr="00197F83">
              <w:rPr>
                <w:lang w:val="fr-FR"/>
              </w:rPr>
              <w:t>; sécurité juridique et prévisibilité</w:t>
            </w:r>
            <w:r>
              <w:rPr>
                <w:lang w:val="fr-FR"/>
              </w:rPr>
              <w:t xml:space="preserve"> </w:t>
            </w:r>
            <w:r w:rsidRPr="00197F83">
              <w:rPr>
                <w:lang w:val="fr-FR"/>
              </w:rPr>
              <w:t>; qualité réglementaire et facilitation</w:t>
            </w:r>
          </w:p>
          <w:p w14:paraId="071236AE" w14:textId="77777777" w:rsidR="0062227D" w:rsidRPr="00197F83" w:rsidRDefault="0062227D" w:rsidP="0062227D">
            <w:pPr>
              <w:pStyle w:val="ListParagraph"/>
              <w:numPr>
                <w:ilvl w:val="0"/>
                <w:numId w:val="36"/>
              </w:numPr>
              <w:rPr>
                <w:lang w:val="fr-FR"/>
              </w:rPr>
            </w:pPr>
            <w:r w:rsidRPr="00197F83">
              <w:rPr>
                <w:lang w:val="fr-FR"/>
              </w:rPr>
              <w:t xml:space="preserve">Disciplines </w:t>
            </w:r>
            <w:r>
              <w:rPr>
                <w:lang w:val="fr-FR"/>
              </w:rPr>
              <w:t>applicables aux</w:t>
            </w:r>
            <w:r w:rsidRPr="00197F83">
              <w:rPr>
                <w:lang w:val="fr-FR"/>
              </w:rPr>
              <w:t xml:space="preserve"> services financiers</w:t>
            </w:r>
          </w:p>
          <w:p w14:paraId="60C86476" w14:textId="77777777" w:rsidR="0062227D" w:rsidRDefault="0062227D" w:rsidP="0062227D">
            <w:pPr>
              <w:pStyle w:val="ListParagraph"/>
              <w:numPr>
                <w:ilvl w:val="0"/>
                <w:numId w:val="36"/>
              </w:numPr>
              <w:rPr>
                <w:lang w:val="fr-FR"/>
              </w:rPr>
            </w:pPr>
            <w:r w:rsidRPr="00ED2982">
              <w:rPr>
                <w:lang w:val="fr-FR"/>
              </w:rPr>
              <w:t xml:space="preserve">Entrée en vigueur </w:t>
            </w:r>
          </w:p>
          <w:p w14:paraId="02C2E600" w14:textId="77777777" w:rsidR="0062227D" w:rsidRDefault="0062227D" w:rsidP="00EC4B56">
            <w:pPr>
              <w:rPr>
                <w:lang w:val="fr-FR"/>
              </w:rPr>
            </w:pPr>
          </w:p>
          <w:p w14:paraId="09FE4D65" w14:textId="77777777" w:rsidR="0062227D" w:rsidRDefault="0062227D" w:rsidP="00EC4B56">
            <w:pPr>
              <w:rPr>
                <w:i/>
                <w:iCs/>
                <w:lang w:val="fr-FR"/>
              </w:rPr>
            </w:pPr>
            <w:r>
              <w:rPr>
                <w:i/>
                <w:iCs/>
                <w:lang w:val="fr-FR"/>
              </w:rPr>
              <w:t>Exercice et Q</w:t>
            </w:r>
            <w:r w:rsidRPr="00ED2982">
              <w:rPr>
                <w:i/>
                <w:iCs/>
                <w:lang w:val="fr-FR"/>
              </w:rPr>
              <w:t>uestions/Réponses</w:t>
            </w:r>
          </w:p>
          <w:p w14:paraId="7BEBC26E" w14:textId="77777777" w:rsidR="0062227D" w:rsidRPr="00ED2982" w:rsidRDefault="0062227D" w:rsidP="00EC4B56">
            <w:pPr>
              <w:rPr>
                <w:b/>
                <w:bCs/>
                <w:i/>
                <w:iCs/>
                <w:lang w:val="fr-FR"/>
              </w:rPr>
            </w:pPr>
          </w:p>
        </w:tc>
        <w:tc>
          <w:tcPr>
            <w:tcW w:w="2415" w:type="dxa"/>
            <w:shd w:val="clear" w:color="auto" w:fill="auto"/>
          </w:tcPr>
          <w:p w14:paraId="1E8EE346" w14:textId="77777777" w:rsidR="0062227D" w:rsidRPr="009F7004" w:rsidRDefault="0062227D" w:rsidP="00EC4B56">
            <w:pPr>
              <w:jc w:val="right"/>
            </w:pPr>
            <w:r>
              <w:t>Elena BERTOLA</w:t>
            </w:r>
          </w:p>
        </w:tc>
      </w:tr>
      <w:tr w:rsidR="0062227D" w:rsidRPr="00084415" w14:paraId="010D5D3A"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DAEEF3" w:themeFill="accent5" w:themeFillTint="33"/>
          </w:tcPr>
          <w:p w14:paraId="400F9816" w14:textId="77777777" w:rsidR="0062227D" w:rsidRDefault="0062227D" w:rsidP="00EC4B56">
            <w:pPr>
              <w:rPr>
                <w:i/>
                <w:iCs/>
                <w:lang w:val="fr-FR"/>
              </w:rPr>
            </w:pPr>
            <w:r w:rsidRPr="00ED2982">
              <w:rPr>
                <w:i/>
                <w:iCs/>
                <w:lang w:val="fr-FR"/>
              </w:rPr>
              <w:t>12h00-14h00</w:t>
            </w:r>
          </w:p>
          <w:p w14:paraId="314A5F7B" w14:textId="77777777" w:rsidR="0062227D" w:rsidRDefault="0062227D" w:rsidP="00EC4B56">
            <w:pPr>
              <w:rPr>
                <w:i/>
                <w:iCs/>
                <w:lang w:val="fr-FR"/>
              </w:rPr>
            </w:pPr>
          </w:p>
        </w:tc>
        <w:tc>
          <w:tcPr>
            <w:tcW w:w="6804" w:type="dxa"/>
            <w:shd w:val="clear" w:color="auto" w:fill="DAEEF3" w:themeFill="accent5" w:themeFillTint="33"/>
          </w:tcPr>
          <w:p w14:paraId="0D3DC336" w14:textId="77777777" w:rsidR="0062227D" w:rsidRPr="00ED2982" w:rsidRDefault="0062227D" w:rsidP="00EC4B56">
            <w:pPr>
              <w:rPr>
                <w:lang w:val="fr-FR"/>
              </w:rPr>
            </w:pPr>
            <w:r w:rsidRPr="00ED2982">
              <w:rPr>
                <w:lang w:val="fr-FR"/>
              </w:rPr>
              <w:t>(Déjeuner)</w:t>
            </w:r>
          </w:p>
        </w:tc>
        <w:tc>
          <w:tcPr>
            <w:tcW w:w="2415" w:type="dxa"/>
            <w:shd w:val="clear" w:color="auto" w:fill="DAEEF3" w:themeFill="accent5" w:themeFillTint="33"/>
          </w:tcPr>
          <w:p w14:paraId="157693B6" w14:textId="77777777" w:rsidR="0062227D" w:rsidRPr="00084415" w:rsidRDefault="0062227D" w:rsidP="00EC4B56">
            <w:pPr>
              <w:jc w:val="right"/>
              <w:rPr>
                <w:lang w:val="fr-CH"/>
              </w:rPr>
            </w:pPr>
          </w:p>
        </w:tc>
      </w:tr>
      <w:tr w:rsidR="0062227D" w:rsidRPr="00197F83" w14:paraId="5960F19D" w14:textId="77777777" w:rsidTr="00EC4B56">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auto"/>
          </w:tcPr>
          <w:p w14:paraId="78BE1EB5" w14:textId="77777777" w:rsidR="0062227D" w:rsidRDefault="0062227D" w:rsidP="00EC4B56">
            <w:pPr>
              <w:rPr>
                <w:i/>
                <w:iCs/>
                <w:lang w:val="fr-FR"/>
              </w:rPr>
            </w:pPr>
            <w:r w:rsidRPr="00ED2982">
              <w:rPr>
                <w:i/>
                <w:iCs/>
                <w:lang w:val="fr-FR"/>
              </w:rPr>
              <w:t>1</w:t>
            </w:r>
            <w:r>
              <w:rPr>
                <w:i/>
                <w:iCs/>
                <w:lang w:val="fr-FR"/>
              </w:rPr>
              <w:t>4</w:t>
            </w:r>
            <w:r w:rsidRPr="00ED2982">
              <w:rPr>
                <w:i/>
                <w:iCs/>
                <w:lang w:val="fr-FR"/>
              </w:rPr>
              <w:t>h00-1</w:t>
            </w:r>
            <w:r>
              <w:rPr>
                <w:i/>
                <w:iCs/>
                <w:lang w:val="fr-FR"/>
              </w:rPr>
              <w:t>5</w:t>
            </w:r>
            <w:r w:rsidRPr="00ED2982">
              <w:rPr>
                <w:i/>
                <w:iCs/>
                <w:lang w:val="fr-FR"/>
              </w:rPr>
              <w:t>h</w:t>
            </w:r>
            <w:r>
              <w:rPr>
                <w:i/>
                <w:iCs/>
                <w:lang w:val="fr-FR"/>
              </w:rPr>
              <w:t>30</w:t>
            </w:r>
          </w:p>
          <w:p w14:paraId="30ACFF24" w14:textId="77777777" w:rsidR="0062227D" w:rsidRDefault="0062227D" w:rsidP="00EC4B56">
            <w:pPr>
              <w:rPr>
                <w:i/>
                <w:iCs/>
                <w:lang w:val="fr-FR"/>
              </w:rPr>
            </w:pPr>
          </w:p>
          <w:p w14:paraId="77C4D0FB" w14:textId="77777777" w:rsidR="0062227D" w:rsidRDefault="0062227D" w:rsidP="00EC4B56">
            <w:pPr>
              <w:rPr>
                <w:i/>
                <w:iCs/>
                <w:lang w:val="fr-FR"/>
              </w:rPr>
            </w:pPr>
          </w:p>
          <w:p w14:paraId="54922345" w14:textId="77777777" w:rsidR="0062227D" w:rsidRDefault="0062227D" w:rsidP="00EC4B56">
            <w:pPr>
              <w:rPr>
                <w:i/>
                <w:iCs/>
                <w:lang w:val="fr-FR"/>
              </w:rPr>
            </w:pPr>
          </w:p>
        </w:tc>
        <w:tc>
          <w:tcPr>
            <w:tcW w:w="6804" w:type="dxa"/>
            <w:shd w:val="clear" w:color="auto" w:fill="auto"/>
          </w:tcPr>
          <w:p w14:paraId="4003C8F9" w14:textId="3AF773EE" w:rsidR="00E83C2A" w:rsidRDefault="0062227D" w:rsidP="00E83C2A">
            <w:pPr>
              <w:rPr>
                <w:b/>
                <w:bCs/>
                <w:lang w:val="fr-FR"/>
              </w:rPr>
            </w:pPr>
            <w:r w:rsidRPr="00E83C2A">
              <w:rPr>
                <w:b/>
                <w:bCs/>
                <w:lang w:val="fr-FR"/>
              </w:rPr>
              <w:t>Réglementation intérieure –</w:t>
            </w:r>
            <w:r w:rsidR="00931772">
              <w:rPr>
                <w:b/>
                <w:bCs/>
                <w:lang w:val="fr-FR"/>
              </w:rPr>
              <w:t xml:space="preserve"> </w:t>
            </w:r>
            <w:r w:rsidR="00E83C2A">
              <w:rPr>
                <w:b/>
                <w:lang w:val="fr-CH"/>
              </w:rPr>
              <w:t>A</w:t>
            </w:r>
            <w:r w:rsidR="00E83C2A" w:rsidRPr="00E83C2A">
              <w:rPr>
                <w:b/>
                <w:bCs/>
                <w:lang w:val="fr-FR"/>
              </w:rPr>
              <w:t xml:space="preserve">perçu du système de réglementation du </w:t>
            </w:r>
            <w:r w:rsidR="00E83C2A">
              <w:rPr>
                <w:b/>
                <w:bCs/>
                <w:lang w:val="fr-FR"/>
              </w:rPr>
              <w:t>M</w:t>
            </w:r>
            <w:r w:rsidR="00E83C2A" w:rsidRPr="00E83C2A">
              <w:rPr>
                <w:b/>
                <w:bCs/>
                <w:lang w:val="fr-FR"/>
              </w:rPr>
              <w:t>aroc</w:t>
            </w:r>
            <w:r w:rsidR="00E83C2A">
              <w:rPr>
                <w:b/>
                <w:bCs/>
                <w:lang w:val="fr-FR"/>
              </w:rPr>
              <w:t xml:space="preserve"> et avantages économiques potentiels de </w:t>
            </w:r>
            <w:r w:rsidR="00EC2F98">
              <w:rPr>
                <w:b/>
                <w:bCs/>
                <w:lang w:val="fr-FR"/>
              </w:rPr>
              <w:t xml:space="preserve">la </w:t>
            </w:r>
            <w:r w:rsidR="00E83C2A">
              <w:rPr>
                <w:b/>
                <w:bCs/>
                <w:lang w:val="fr-FR"/>
              </w:rPr>
              <w:t>mise en œuvre</w:t>
            </w:r>
            <w:r w:rsidR="00EC2F98">
              <w:rPr>
                <w:b/>
                <w:bCs/>
                <w:lang w:val="fr-FR"/>
              </w:rPr>
              <w:t xml:space="preserve"> de bonnes pratiques réglementaires </w:t>
            </w:r>
          </w:p>
          <w:p w14:paraId="60A921FD" w14:textId="565618D7" w:rsidR="00834052" w:rsidRPr="00E83C2A" w:rsidRDefault="00834052" w:rsidP="00E83C2A">
            <w:pPr>
              <w:pStyle w:val="ListParagraph"/>
              <w:numPr>
                <w:ilvl w:val="0"/>
                <w:numId w:val="32"/>
              </w:numPr>
              <w:rPr>
                <w:lang w:val="fr-FR"/>
              </w:rPr>
            </w:pPr>
            <w:r w:rsidRPr="00E83C2A">
              <w:rPr>
                <w:lang w:val="fr-FR"/>
              </w:rPr>
              <w:t>Présentation des données recueillies par l'</w:t>
            </w:r>
            <w:r w:rsidR="00E83C2A" w:rsidRPr="00E83C2A">
              <w:rPr>
                <w:lang w:val="fr-FR"/>
              </w:rPr>
              <w:t>a</w:t>
            </w:r>
            <w:r w:rsidRPr="00E83C2A">
              <w:rPr>
                <w:lang w:val="fr-FR"/>
              </w:rPr>
              <w:t xml:space="preserve">udit conjoint de l'OMC et de la Banque Mondiale sur les politiques et réglementations affectant le commerce des services en Maroc </w:t>
            </w:r>
          </w:p>
          <w:p w14:paraId="4CD76F5D" w14:textId="792D12E2" w:rsidR="0062227D" w:rsidRDefault="0062227D" w:rsidP="0062227D">
            <w:pPr>
              <w:pStyle w:val="ListParagraph"/>
              <w:numPr>
                <w:ilvl w:val="0"/>
                <w:numId w:val="34"/>
              </w:numPr>
              <w:rPr>
                <w:lang w:val="fr-FR"/>
              </w:rPr>
            </w:pPr>
            <w:r w:rsidRPr="0037490B">
              <w:rPr>
                <w:lang w:val="fr-FR"/>
              </w:rPr>
              <w:t>É</w:t>
            </w:r>
            <w:r>
              <w:rPr>
                <w:lang w:val="fr-FR"/>
              </w:rPr>
              <w:t>volutions dans le cadre des bonnes pratiques r</w:t>
            </w:r>
            <w:r w:rsidR="00EC2F98">
              <w:rPr>
                <w:lang w:val="fr-FR"/>
              </w:rPr>
              <w:t>é</w:t>
            </w:r>
            <w:r>
              <w:rPr>
                <w:lang w:val="fr-FR"/>
              </w:rPr>
              <w:t>glementaires</w:t>
            </w:r>
          </w:p>
          <w:p w14:paraId="7FD82B28" w14:textId="77777777" w:rsidR="0062227D" w:rsidRPr="00197F83" w:rsidRDefault="0062227D" w:rsidP="0062227D">
            <w:pPr>
              <w:pStyle w:val="ListParagraph"/>
              <w:numPr>
                <w:ilvl w:val="0"/>
                <w:numId w:val="34"/>
              </w:numPr>
              <w:rPr>
                <w:lang w:val="fr-FR"/>
              </w:rPr>
            </w:pPr>
            <w:r>
              <w:rPr>
                <w:lang w:val="fr-FR"/>
              </w:rPr>
              <w:t>T</w:t>
            </w:r>
            <w:r w:rsidRPr="00197F83">
              <w:rPr>
                <w:lang w:val="fr-FR"/>
              </w:rPr>
              <w:t>endances récentes d</w:t>
            </w:r>
            <w:r>
              <w:rPr>
                <w:lang w:val="fr-FR"/>
              </w:rPr>
              <w:t>ans les</w:t>
            </w:r>
            <w:r w:rsidRPr="00197F83">
              <w:rPr>
                <w:lang w:val="fr-FR"/>
              </w:rPr>
              <w:t xml:space="preserve"> accords commerciaux régionaux (ACR)</w:t>
            </w:r>
          </w:p>
          <w:p w14:paraId="248D6AC2" w14:textId="719B0D37" w:rsidR="00834052" w:rsidRPr="00834052" w:rsidRDefault="0062227D" w:rsidP="00834052">
            <w:pPr>
              <w:pStyle w:val="ListParagraph"/>
              <w:numPr>
                <w:ilvl w:val="0"/>
                <w:numId w:val="35"/>
              </w:numPr>
              <w:rPr>
                <w:b/>
                <w:bCs/>
                <w:lang w:val="fr-FR"/>
              </w:rPr>
            </w:pPr>
            <w:r w:rsidRPr="00197F83">
              <w:rPr>
                <w:lang w:val="fr-FR"/>
              </w:rPr>
              <w:t>Avantages potentiels de la mise en œuvre du résultat sur la base des recherches de l'OCDE et de l'OMC</w:t>
            </w:r>
          </w:p>
          <w:p w14:paraId="43779210" w14:textId="77777777" w:rsidR="0062227D" w:rsidRDefault="0062227D" w:rsidP="00EC4B56">
            <w:pPr>
              <w:rPr>
                <w:b/>
                <w:bCs/>
                <w:lang w:val="fr-FR"/>
              </w:rPr>
            </w:pPr>
          </w:p>
          <w:p w14:paraId="5D2B42E8" w14:textId="77777777" w:rsidR="0062227D" w:rsidRDefault="0062227D" w:rsidP="00EC4B56">
            <w:pPr>
              <w:rPr>
                <w:i/>
                <w:iCs/>
                <w:lang w:val="fr-FR"/>
              </w:rPr>
            </w:pPr>
            <w:r>
              <w:rPr>
                <w:i/>
                <w:iCs/>
                <w:lang w:val="fr-FR"/>
              </w:rPr>
              <w:t>Exercice et Q</w:t>
            </w:r>
            <w:r w:rsidRPr="00ED2982">
              <w:rPr>
                <w:i/>
                <w:iCs/>
                <w:lang w:val="fr-FR"/>
              </w:rPr>
              <w:t>uestions/Réponses</w:t>
            </w:r>
          </w:p>
          <w:p w14:paraId="5FB2A8FA" w14:textId="77777777" w:rsidR="0062227D" w:rsidRPr="00197F83" w:rsidRDefault="0062227D" w:rsidP="00EC4B56">
            <w:pPr>
              <w:rPr>
                <w:b/>
                <w:bCs/>
                <w:lang w:val="fr-FR"/>
              </w:rPr>
            </w:pPr>
          </w:p>
        </w:tc>
        <w:tc>
          <w:tcPr>
            <w:tcW w:w="2415" w:type="dxa"/>
            <w:shd w:val="clear" w:color="auto" w:fill="auto"/>
          </w:tcPr>
          <w:p w14:paraId="640971D5" w14:textId="77777777" w:rsidR="0062227D" w:rsidRPr="00197F83" w:rsidRDefault="0062227D" w:rsidP="00EC4B56">
            <w:pPr>
              <w:jc w:val="right"/>
              <w:rPr>
                <w:lang w:val="fr-CH"/>
              </w:rPr>
            </w:pPr>
            <w:r>
              <w:rPr>
                <w:lang w:val="fr-CH"/>
              </w:rPr>
              <w:t>Elena BERTOLA</w:t>
            </w:r>
          </w:p>
        </w:tc>
      </w:tr>
      <w:tr w:rsidR="0062227D" w:rsidRPr="005C3C11" w14:paraId="4154EF3D" w14:textId="77777777" w:rsidTr="00EC4B56">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DAEEF3" w:themeFill="accent5" w:themeFillTint="33"/>
          </w:tcPr>
          <w:p w14:paraId="7721E9D3" w14:textId="77777777" w:rsidR="0062227D" w:rsidRDefault="0062227D" w:rsidP="00EC4B56">
            <w:pPr>
              <w:rPr>
                <w:i/>
                <w:iCs/>
                <w:lang w:val="fr-FR"/>
              </w:rPr>
            </w:pPr>
            <w:r>
              <w:rPr>
                <w:i/>
                <w:iCs/>
                <w:lang w:val="fr-FR"/>
              </w:rPr>
              <w:t>15h30-16h00</w:t>
            </w:r>
          </w:p>
          <w:p w14:paraId="6B144307" w14:textId="77777777" w:rsidR="0062227D" w:rsidRDefault="0062227D" w:rsidP="00EC4B56">
            <w:pPr>
              <w:rPr>
                <w:i/>
                <w:iCs/>
                <w:lang w:val="fr-FR"/>
              </w:rPr>
            </w:pPr>
          </w:p>
          <w:p w14:paraId="035C5BA8" w14:textId="77777777" w:rsidR="0062227D" w:rsidRDefault="0062227D" w:rsidP="00EC4B56">
            <w:pPr>
              <w:rPr>
                <w:i/>
                <w:iCs/>
                <w:lang w:val="fr-FR"/>
              </w:rPr>
            </w:pPr>
          </w:p>
          <w:p w14:paraId="0934F61B" w14:textId="77777777" w:rsidR="0062227D" w:rsidRDefault="0062227D" w:rsidP="00EC4B56">
            <w:pPr>
              <w:rPr>
                <w:i/>
                <w:iCs/>
                <w:lang w:val="fr-FR"/>
              </w:rPr>
            </w:pPr>
          </w:p>
        </w:tc>
        <w:tc>
          <w:tcPr>
            <w:tcW w:w="6804" w:type="dxa"/>
            <w:shd w:val="clear" w:color="auto" w:fill="DAEEF3" w:themeFill="accent5" w:themeFillTint="33"/>
          </w:tcPr>
          <w:p w14:paraId="4FD21484" w14:textId="77777777" w:rsidR="0062227D" w:rsidRDefault="0062227D" w:rsidP="00EC4B56">
            <w:pPr>
              <w:rPr>
                <w:b/>
                <w:bCs/>
                <w:highlight w:val="yellow"/>
                <w:lang w:val="fr-CH"/>
              </w:rPr>
            </w:pPr>
            <w:commentRangeStart w:id="3"/>
            <w:r>
              <w:rPr>
                <w:b/>
                <w:bCs/>
                <w:lang w:val="fr-CH"/>
              </w:rPr>
              <w:t xml:space="preserve">Opportunité d'échange et de partage d'expérience avec et entre les participants </w:t>
            </w:r>
            <w:commentRangeEnd w:id="3"/>
            <w:r>
              <w:rPr>
                <w:rStyle w:val="CommentReference"/>
                <w:rFonts w:eastAsiaTheme="minorHAnsi" w:cstheme="minorBidi"/>
                <w:lang w:eastAsia="en-US"/>
              </w:rPr>
              <w:commentReference w:id="3"/>
            </w:r>
          </w:p>
          <w:p w14:paraId="4969FA52" w14:textId="77777777" w:rsidR="0062227D" w:rsidRDefault="0062227D" w:rsidP="00EC4B56">
            <w:pPr>
              <w:rPr>
                <w:b/>
                <w:bCs/>
                <w:highlight w:val="yellow"/>
                <w:lang w:val="fr-CH"/>
              </w:rPr>
            </w:pPr>
          </w:p>
          <w:p w14:paraId="01B50AFD" w14:textId="77777777" w:rsidR="0062227D" w:rsidRPr="003E789B" w:rsidRDefault="0062227D" w:rsidP="00EC4B56">
            <w:pPr>
              <w:rPr>
                <w:b/>
                <w:bCs/>
                <w:lang w:val="fr-CH"/>
              </w:rPr>
            </w:pPr>
            <w:r w:rsidRPr="00892E55">
              <w:rPr>
                <w:b/>
                <w:bCs/>
                <w:lang w:val="fr-CH"/>
              </w:rPr>
              <w:t>Conclusion du programme</w:t>
            </w:r>
          </w:p>
          <w:p w14:paraId="19732E4E" w14:textId="77777777" w:rsidR="0062227D" w:rsidRPr="003169CF" w:rsidRDefault="0062227D" w:rsidP="00EC4B56">
            <w:pPr>
              <w:rPr>
                <w:b/>
                <w:bCs/>
                <w:lang w:val="fr-FR"/>
              </w:rPr>
            </w:pPr>
          </w:p>
        </w:tc>
        <w:tc>
          <w:tcPr>
            <w:tcW w:w="2415" w:type="dxa"/>
            <w:shd w:val="clear" w:color="auto" w:fill="DAEEF3" w:themeFill="accent5" w:themeFillTint="33"/>
          </w:tcPr>
          <w:p w14:paraId="72C4281F" w14:textId="77777777" w:rsidR="0062227D" w:rsidRPr="005C3C11" w:rsidRDefault="0062227D" w:rsidP="00EC4B56">
            <w:pPr>
              <w:jc w:val="right"/>
              <w:rPr>
                <w:lang w:val="es-ES"/>
              </w:rPr>
            </w:pPr>
            <w:commentRangeStart w:id="4"/>
            <w:r w:rsidRPr="005C3C11">
              <w:rPr>
                <w:highlight w:val="yellow"/>
                <w:lang w:val="es-ES"/>
              </w:rPr>
              <w:t>XXX</w:t>
            </w:r>
            <w:commentRangeEnd w:id="4"/>
            <w:r>
              <w:rPr>
                <w:rStyle w:val="CommentReference"/>
                <w:rFonts w:eastAsiaTheme="minorHAnsi" w:cstheme="minorBidi"/>
                <w:lang w:eastAsia="en-US"/>
              </w:rPr>
              <w:commentReference w:id="4"/>
            </w:r>
          </w:p>
          <w:p w14:paraId="6A443089" w14:textId="77777777" w:rsidR="0062227D" w:rsidRDefault="0062227D" w:rsidP="00EC4B56">
            <w:pPr>
              <w:jc w:val="right"/>
              <w:rPr>
                <w:lang w:val="es-ES"/>
              </w:rPr>
            </w:pPr>
          </w:p>
          <w:p w14:paraId="5506DA99" w14:textId="77777777" w:rsidR="0062227D" w:rsidRDefault="0062227D" w:rsidP="00EC4B56">
            <w:pPr>
              <w:jc w:val="right"/>
              <w:rPr>
                <w:lang w:val="es-ES"/>
              </w:rPr>
            </w:pPr>
          </w:p>
          <w:p w14:paraId="02FD0FD4" w14:textId="77777777" w:rsidR="0062227D" w:rsidRPr="005C3C11" w:rsidRDefault="0062227D" w:rsidP="00EC4B56">
            <w:pPr>
              <w:jc w:val="center"/>
              <w:rPr>
                <w:highlight w:val="yellow"/>
                <w:lang w:val="es-ES"/>
              </w:rPr>
            </w:pPr>
          </w:p>
        </w:tc>
      </w:tr>
    </w:tbl>
    <w:p w14:paraId="726ACBFB" w14:textId="77777777" w:rsidR="0062227D" w:rsidRPr="005C3C11" w:rsidRDefault="0062227D" w:rsidP="0062227D">
      <w:pPr>
        <w:rPr>
          <w:lang w:val="es-ES" w:eastAsia="en-GB"/>
        </w:rPr>
      </w:pPr>
    </w:p>
    <w:p w14:paraId="06203E58" w14:textId="77777777" w:rsidR="0062227D" w:rsidRPr="005C3C11" w:rsidRDefault="0062227D" w:rsidP="0062227D">
      <w:pPr>
        <w:rPr>
          <w:lang w:val="es-ES" w:eastAsia="en-GB"/>
        </w:rPr>
      </w:pPr>
    </w:p>
    <w:p w14:paraId="1E0467A6" w14:textId="77777777" w:rsidR="0062227D" w:rsidRPr="005C3C11" w:rsidRDefault="0062227D" w:rsidP="0062227D">
      <w:pPr>
        <w:rPr>
          <w:lang w:val="es-ES" w:eastAsia="en-GB"/>
        </w:rPr>
      </w:pPr>
    </w:p>
    <w:p w14:paraId="2A090F31" w14:textId="77777777" w:rsidR="0062227D" w:rsidRPr="005C3C11" w:rsidRDefault="0062227D" w:rsidP="0062227D">
      <w:pPr>
        <w:rPr>
          <w:lang w:val="es-ES" w:eastAsia="en-GB"/>
        </w:rPr>
      </w:pPr>
    </w:p>
    <w:p w14:paraId="2EB2EE69" w14:textId="77777777" w:rsidR="00892E55" w:rsidRPr="0062227D" w:rsidRDefault="00892E55" w:rsidP="0062227D"/>
    <w:sectPr w:rsidR="00892E55" w:rsidRPr="0062227D" w:rsidSect="002A15FB">
      <w:headerReference w:type="default" r:id="rId12"/>
      <w:footerReference w:type="default" r:id="rId13"/>
      <w:pgSz w:w="11906" w:h="16838" w:code="9"/>
      <w:pgMar w:top="1701"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ourgeois, Yanis" w:date="2022-09-22T18:18:00Z" w:initials="BY">
    <w:p w14:paraId="608711E9" w14:textId="77777777" w:rsidR="0062227D" w:rsidRPr="007E47AB" w:rsidRDefault="0062227D" w:rsidP="0062227D">
      <w:pPr>
        <w:pStyle w:val="CommentText"/>
        <w:rPr>
          <w:lang w:val="fr-CH"/>
        </w:rPr>
      </w:pPr>
      <w:r>
        <w:rPr>
          <w:rStyle w:val="CommentReference"/>
        </w:rPr>
        <w:annotationRef/>
      </w:r>
      <w:r w:rsidRPr="007E47AB">
        <w:rPr>
          <w:lang w:val="fr-CH"/>
        </w:rPr>
        <w:t xml:space="preserve">Participant du </w:t>
      </w:r>
      <w:r>
        <w:rPr>
          <w:lang w:val="fr-CH"/>
        </w:rPr>
        <w:t>Maroc</w:t>
      </w:r>
      <w:r w:rsidRPr="007E47AB">
        <w:rPr>
          <w:lang w:val="fr-CH"/>
        </w:rPr>
        <w:t xml:space="preserve"> pour p</w:t>
      </w:r>
      <w:r>
        <w:rPr>
          <w:lang w:val="fr-CH"/>
        </w:rPr>
        <w:t>résenter le programme ?</w:t>
      </w:r>
    </w:p>
  </w:comment>
  <w:comment w:id="2" w:author="Bertola, Elena" w:date="2022-09-23T10:33:00Z" w:initials="BE">
    <w:p w14:paraId="38C705CA" w14:textId="77777777" w:rsidR="0062227D" w:rsidRPr="005C3C11" w:rsidRDefault="0062227D" w:rsidP="0062227D">
      <w:pPr>
        <w:pStyle w:val="CommentText"/>
        <w:rPr>
          <w:lang w:val="fr-CH"/>
        </w:rPr>
      </w:pPr>
      <w:r>
        <w:rPr>
          <w:rStyle w:val="CommentReference"/>
        </w:rPr>
        <w:annotationRef/>
      </w:r>
      <w:r w:rsidRPr="005C3C11">
        <w:rPr>
          <w:lang w:val="fr-CH"/>
        </w:rPr>
        <w:t>Les participants souhaitent-ils a</w:t>
      </w:r>
      <w:r>
        <w:rPr>
          <w:lang w:val="fr-CH"/>
        </w:rPr>
        <w:t>voir des infos générales sur l'OMC avant de commencer le programme ?</w:t>
      </w:r>
    </w:p>
  </w:comment>
  <w:comment w:id="3" w:author="Bourgeois, Yanis" w:date="2022-09-22T18:16:00Z" w:initials="BY">
    <w:p w14:paraId="4635F0AC" w14:textId="77777777" w:rsidR="0062227D" w:rsidRPr="009367DF" w:rsidRDefault="0062227D" w:rsidP="0062227D">
      <w:pPr>
        <w:pStyle w:val="CommentText"/>
        <w:rPr>
          <w:lang w:val="fr-CH"/>
        </w:rPr>
      </w:pPr>
      <w:r>
        <w:rPr>
          <w:rStyle w:val="CommentReference"/>
        </w:rPr>
        <w:annotationRef/>
      </w:r>
      <w:r w:rsidRPr="009367DF">
        <w:rPr>
          <w:lang w:val="fr-CH"/>
        </w:rPr>
        <w:t xml:space="preserve">Par exemple, y </w:t>
      </w:r>
      <w:r>
        <w:rPr>
          <w:lang w:val="fr-CH"/>
        </w:rPr>
        <w:t xml:space="preserve">aura-t-il des membres du secteur privé (ou d'autres ministères) qui seront présents lors de la formation ? </w:t>
      </w:r>
    </w:p>
  </w:comment>
  <w:comment w:id="4" w:author="Bourgeois, Yanis" w:date="2022-09-22T18:18:00Z" w:initials="BY">
    <w:p w14:paraId="1E5ECB9B" w14:textId="77777777" w:rsidR="0062227D" w:rsidRPr="007E47AB" w:rsidRDefault="0062227D" w:rsidP="0062227D">
      <w:pPr>
        <w:pStyle w:val="CommentText"/>
        <w:rPr>
          <w:lang w:val="fr-CH"/>
        </w:rPr>
      </w:pPr>
      <w:r>
        <w:rPr>
          <w:rStyle w:val="CommentReference"/>
        </w:rPr>
        <w:annotationRef/>
      </w:r>
      <w:r w:rsidRPr="007E47AB">
        <w:rPr>
          <w:lang w:val="fr-CH"/>
        </w:rPr>
        <w:t xml:space="preserve">Participant du </w:t>
      </w:r>
      <w:r>
        <w:rPr>
          <w:lang w:val="fr-CH"/>
        </w:rPr>
        <w:t>Maroc</w:t>
      </w:r>
      <w:r w:rsidRPr="007E47AB">
        <w:rPr>
          <w:lang w:val="fr-CH"/>
        </w:rPr>
        <w:t xml:space="preserve"> pour </w:t>
      </w:r>
      <w:r>
        <w:rPr>
          <w:lang w:val="fr-CH"/>
        </w:rPr>
        <w:t>conclure le programme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711E9" w15:done="0"/>
  <w15:commentEx w15:paraId="38C705CA" w15:done="0"/>
  <w15:commentEx w15:paraId="4635F0AC" w15:done="0"/>
  <w15:commentEx w15:paraId="1E5ECB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2568" w16cex:dateUtc="2022-09-22T16:18:00Z"/>
  <w16cex:commentExtensible w16cex:durableId="26D809E7" w16cex:dateUtc="2022-09-23T08:33:00Z"/>
  <w16cex:commentExtensible w16cex:durableId="26D724F8" w16cex:dateUtc="2022-09-22T16:16:00Z"/>
  <w16cex:commentExtensible w16cex:durableId="26D725ED" w16cex:dateUtc="2022-09-22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711E9" w16cid:durableId="26D72568"/>
  <w16cid:commentId w16cid:paraId="38C705CA" w16cid:durableId="26D809E7"/>
  <w16cid:commentId w16cid:paraId="4635F0AC" w16cid:durableId="26D724F8"/>
  <w16cid:commentId w16cid:paraId="1E5ECB9B" w16cid:durableId="26D72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7D56" w14:textId="77777777" w:rsidR="00652E27" w:rsidRDefault="00652E27" w:rsidP="00ED54E0">
      <w:r>
        <w:separator/>
      </w:r>
    </w:p>
  </w:endnote>
  <w:endnote w:type="continuationSeparator" w:id="0">
    <w:p w14:paraId="77F39AF4" w14:textId="77777777" w:rsidR="00652E27" w:rsidRDefault="00652E27"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02621"/>
      <w:docPartObj>
        <w:docPartGallery w:val="Page Numbers (Bottom of Page)"/>
        <w:docPartUnique/>
      </w:docPartObj>
    </w:sdtPr>
    <w:sdtEndPr>
      <w:rPr>
        <w:noProof/>
      </w:rPr>
    </w:sdtEndPr>
    <w:sdtContent>
      <w:p w14:paraId="30F8E16D" w14:textId="55F027A2" w:rsidR="00F810D7" w:rsidRDefault="00F81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B12D2" w14:textId="77777777" w:rsidR="00F810D7" w:rsidRDefault="00F8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D5DD" w14:textId="77777777" w:rsidR="00652E27" w:rsidRDefault="00652E27" w:rsidP="00ED54E0">
      <w:r>
        <w:separator/>
      </w:r>
    </w:p>
  </w:footnote>
  <w:footnote w:type="continuationSeparator" w:id="0">
    <w:p w14:paraId="0260B110" w14:textId="77777777" w:rsidR="00652E27" w:rsidRDefault="00652E27"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769" w14:textId="3D6D68DB" w:rsidR="003D394D" w:rsidRPr="00874DC5" w:rsidRDefault="004140F4">
    <w:pPr>
      <w:pStyle w:val="Header"/>
      <w:rPr>
        <w:lang w:val="fr-FR"/>
      </w:rPr>
    </w:pPr>
    <w:r>
      <w:rPr>
        <w:lang w:val="fr-FR"/>
      </w:rPr>
      <w:t>2</w:t>
    </w:r>
    <w:r w:rsidR="0062227D">
      <w:rPr>
        <w:lang w:val="fr-FR"/>
      </w:rPr>
      <w:t xml:space="preserve">3 </w:t>
    </w:r>
    <w:r w:rsidR="00874DC5" w:rsidRPr="00C026D8">
      <w:rPr>
        <w:lang w:val="fr-FR"/>
      </w:rPr>
      <w:t>septembre</w:t>
    </w:r>
    <w:r w:rsidR="003D394D" w:rsidRPr="00C026D8">
      <w:rPr>
        <w:lang w:val="fr-FR"/>
      </w:rPr>
      <w:t xml:space="preserve"> 2022</w:t>
    </w:r>
  </w:p>
  <w:p w14:paraId="4F9155D0" w14:textId="77777777" w:rsidR="003D394D" w:rsidRDefault="003D394D">
    <w:pPr>
      <w:pStyle w:val="Header"/>
    </w:pPr>
  </w:p>
  <w:p w14:paraId="44258E8F"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B2A0D"/>
    <w:multiLevelType w:val="hybridMultilevel"/>
    <w:tmpl w:val="CAE0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04BD2"/>
    <w:multiLevelType w:val="hybridMultilevel"/>
    <w:tmpl w:val="EEF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19793F"/>
    <w:multiLevelType w:val="hybridMultilevel"/>
    <w:tmpl w:val="891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120ED"/>
    <w:multiLevelType w:val="hybridMultilevel"/>
    <w:tmpl w:val="C7C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CE05D3"/>
    <w:multiLevelType w:val="hybridMultilevel"/>
    <w:tmpl w:val="2D86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DE3F9A"/>
    <w:multiLevelType w:val="hybridMultilevel"/>
    <w:tmpl w:val="5872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A67E0"/>
    <w:multiLevelType w:val="hybridMultilevel"/>
    <w:tmpl w:val="498E255E"/>
    <w:lvl w:ilvl="0" w:tplc="E94479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06BEB"/>
    <w:multiLevelType w:val="hybridMultilevel"/>
    <w:tmpl w:val="BAC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B46DB"/>
    <w:multiLevelType w:val="hybridMultilevel"/>
    <w:tmpl w:val="1604FB8C"/>
    <w:lvl w:ilvl="0" w:tplc="E94479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0EA0"/>
    <w:multiLevelType w:val="hybridMultilevel"/>
    <w:tmpl w:val="D880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74DF9"/>
    <w:multiLevelType w:val="hybridMultilevel"/>
    <w:tmpl w:val="41301C40"/>
    <w:lvl w:ilvl="0" w:tplc="E94479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0328F"/>
    <w:multiLevelType w:val="hybridMultilevel"/>
    <w:tmpl w:val="B11C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503B0"/>
    <w:multiLevelType w:val="hybridMultilevel"/>
    <w:tmpl w:val="5072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6" w15:restartNumberingAfterBreak="0">
    <w:nsid w:val="57454AB1"/>
    <w:multiLevelType w:val="multilevel"/>
    <w:tmpl w:val="CC52177C"/>
    <w:numStyleLink w:val="LegalHeadings"/>
  </w:abstractNum>
  <w:abstractNum w:abstractNumId="27"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8" w15:restartNumberingAfterBreak="0">
    <w:nsid w:val="5FFC02AF"/>
    <w:multiLevelType w:val="hybridMultilevel"/>
    <w:tmpl w:val="3A367546"/>
    <w:lvl w:ilvl="0" w:tplc="E94479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3C3B4C"/>
    <w:multiLevelType w:val="hybridMultilevel"/>
    <w:tmpl w:val="3190C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1506A"/>
    <w:multiLevelType w:val="hybridMultilevel"/>
    <w:tmpl w:val="88AE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27F45"/>
    <w:multiLevelType w:val="hybridMultilevel"/>
    <w:tmpl w:val="B77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A6FA5"/>
    <w:multiLevelType w:val="hybridMultilevel"/>
    <w:tmpl w:val="DCD2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A335E"/>
    <w:multiLevelType w:val="hybridMultilevel"/>
    <w:tmpl w:val="C626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7"/>
  </w:num>
  <w:num w:numId="7">
    <w:abstractNumId w:val="26"/>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2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num>
  <w:num w:numId="21">
    <w:abstractNumId w:val="17"/>
  </w:num>
  <w:num w:numId="22">
    <w:abstractNumId w:val="19"/>
  </w:num>
  <w:num w:numId="23">
    <w:abstractNumId w:val="12"/>
  </w:num>
  <w:num w:numId="24">
    <w:abstractNumId w:val="11"/>
  </w:num>
  <w:num w:numId="25">
    <w:abstractNumId w:val="31"/>
  </w:num>
  <w:num w:numId="26">
    <w:abstractNumId w:val="15"/>
  </w:num>
  <w:num w:numId="27">
    <w:abstractNumId w:val="13"/>
  </w:num>
  <w:num w:numId="28">
    <w:abstractNumId w:val="14"/>
  </w:num>
  <w:num w:numId="29">
    <w:abstractNumId w:val="32"/>
  </w:num>
  <w:num w:numId="30">
    <w:abstractNumId w:val="33"/>
  </w:num>
  <w:num w:numId="31">
    <w:abstractNumId w:val="23"/>
  </w:num>
  <w:num w:numId="32">
    <w:abstractNumId w:val="21"/>
  </w:num>
  <w:num w:numId="33">
    <w:abstractNumId w:val="24"/>
  </w:num>
  <w:num w:numId="34">
    <w:abstractNumId w:val="18"/>
  </w:num>
  <w:num w:numId="35">
    <w:abstractNumId w:val="28"/>
  </w:num>
  <w:num w:numId="36">
    <w:abstractNumId w:val="22"/>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rgeois, Yanis">
    <w15:presenceInfo w15:providerId="AD" w15:userId="S::yanis.bourgeois@wto.org::5cc9e9ba-e48d-4e5a-93f5-be2497da5889"/>
  </w15:person>
  <w15:person w15:author="Bertola, Elena">
    <w15:presenceInfo w15:providerId="AD" w15:userId="S::elena.bertola@wto.org::aad2199e-46de-48fe-be10-31fbfac7c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27"/>
    <w:rsid w:val="00007858"/>
    <w:rsid w:val="000106E0"/>
    <w:rsid w:val="000111BB"/>
    <w:rsid w:val="00022C0F"/>
    <w:rsid w:val="00023A8E"/>
    <w:rsid w:val="000258E5"/>
    <w:rsid w:val="000272F6"/>
    <w:rsid w:val="0003478B"/>
    <w:rsid w:val="00037AC4"/>
    <w:rsid w:val="000419E6"/>
    <w:rsid w:val="000423BF"/>
    <w:rsid w:val="00042C95"/>
    <w:rsid w:val="00070462"/>
    <w:rsid w:val="00080B7B"/>
    <w:rsid w:val="00084415"/>
    <w:rsid w:val="0008562D"/>
    <w:rsid w:val="000A4945"/>
    <w:rsid w:val="000B10DF"/>
    <w:rsid w:val="000B31E1"/>
    <w:rsid w:val="000E357C"/>
    <w:rsid w:val="000E362A"/>
    <w:rsid w:val="00104C87"/>
    <w:rsid w:val="00106C52"/>
    <w:rsid w:val="0011356B"/>
    <w:rsid w:val="00120861"/>
    <w:rsid w:val="0013337F"/>
    <w:rsid w:val="00135BC0"/>
    <w:rsid w:val="001409AB"/>
    <w:rsid w:val="00142946"/>
    <w:rsid w:val="001438D7"/>
    <w:rsid w:val="001468E4"/>
    <w:rsid w:val="0016594F"/>
    <w:rsid w:val="00167F8D"/>
    <w:rsid w:val="00182B84"/>
    <w:rsid w:val="001946F2"/>
    <w:rsid w:val="00197F83"/>
    <w:rsid w:val="001B067D"/>
    <w:rsid w:val="001B4519"/>
    <w:rsid w:val="001C03E9"/>
    <w:rsid w:val="001C5726"/>
    <w:rsid w:val="001D0F5C"/>
    <w:rsid w:val="001D4DF9"/>
    <w:rsid w:val="001E291F"/>
    <w:rsid w:val="001F0700"/>
    <w:rsid w:val="00201907"/>
    <w:rsid w:val="002114E5"/>
    <w:rsid w:val="00214531"/>
    <w:rsid w:val="002211FB"/>
    <w:rsid w:val="00221B7A"/>
    <w:rsid w:val="002324C2"/>
    <w:rsid w:val="00233408"/>
    <w:rsid w:val="00237417"/>
    <w:rsid w:val="002409E1"/>
    <w:rsid w:val="00266AC5"/>
    <w:rsid w:val="0027067B"/>
    <w:rsid w:val="002860A1"/>
    <w:rsid w:val="0029292F"/>
    <w:rsid w:val="002A15FB"/>
    <w:rsid w:val="002A6940"/>
    <w:rsid w:val="002B188C"/>
    <w:rsid w:val="002B1CEC"/>
    <w:rsid w:val="002B7E75"/>
    <w:rsid w:val="002E048C"/>
    <w:rsid w:val="002E0F92"/>
    <w:rsid w:val="002E1B45"/>
    <w:rsid w:val="002E249B"/>
    <w:rsid w:val="002E2D36"/>
    <w:rsid w:val="002E3DE7"/>
    <w:rsid w:val="002E76E6"/>
    <w:rsid w:val="00304385"/>
    <w:rsid w:val="00311BE2"/>
    <w:rsid w:val="003169CF"/>
    <w:rsid w:val="00320249"/>
    <w:rsid w:val="00325684"/>
    <w:rsid w:val="003572B4"/>
    <w:rsid w:val="003616BF"/>
    <w:rsid w:val="00362282"/>
    <w:rsid w:val="003642E7"/>
    <w:rsid w:val="00371F2B"/>
    <w:rsid w:val="0037490B"/>
    <w:rsid w:val="00383993"/>
    <w:rsid w:val="00383F10"/>
    <w:rsid w:val="00384612"/>
    <w:rsid w:val="00394221"/>
    <w:rsid w:val="003959CE"/>
    <w:rsid w:val="003B2D82"/>
    <w:rsid w:val="003B7E5A"/>
    <w:rsid w:val="003D394D"/>
    <w:rsid w:val="003D59E3"/>
    <w:rsid w:val="003E1B27"/>
    <w:rsid w:val="003E789B"/>
    <w:rsid w:val="004076FF"/>
    <w:rsid w:val="004140F4"/>
    <w:rsid w:val="00416A6C"/>
    <w:rsid w:val="0042061A"/>
    <w:rsid w:val="00432B9D"/>
    <w:rsid w:val="004551EC"/>
    <w:rsid w:val="004610D0"/>
    <w:rsid w:val="00467032"/>
    <w:rsid w:val="0046754A"/>
    <w:rsid w:val="00497148"/>
    <w:rsid w:val="004A065A"/>
    <w:rsid w:val="004A31FF"/>
    <w:rsid w:val="004A4E8D"/>
    <w:rsid w:val="004A63F3"/>
    <w:rsid w:val="004B36F1"/>
    <w:rsid w:val="004B6AF8"/>
    <w:rsid w:val="004F203A"/>
    <w:rsid w:val="004F2210"/>
    <w:rsid w:val="004F7724"/>
    <w:rsid w:val="00512FF5"/>
    <w:rsid w:val="00530FF8"/>
    <w:rsid w:val="005336B8"/>
    <w:rsid w:val="0056551E"/>
    <w:rsid w:val="005709F7"/>
    <w:rsid w:val="00580F28"/>
    <w:rsid w:val="005817B7"/>
    <w:rsid w:val="005A434E"/>
    <w:rsid w:val="005B04B9"/>
    <w:rsid w:val="005B3F5C"/>
    <w:rsid w:val="005B49B7"/>
    <w:rsid w:val="005B68C7"/>
    <w:rsid w:val="005B7054"/>
    <w:rsid w:val="005C3C11"/>
    <w:rsid w:val="005D0152"/>
    <w:rsid w:val="005D5981"/>
    <w:rsid w:val="005F30CB"/>
    <w:rsid w:val="00612644"/>
    <w:rsid w:val="0062093F"/>
    <w:rsid w:val="00621B7F"/>
    <w:rsid w:val="0062227D"/>
    <w:rsid w:val="00623EE8"/>
    <w:rsid w:val="00652E27"/>
    <w:rsid w:val="00662D14"/>
    <w:rsid w:val="00674CCD"/>
    <w:rsid w:val="006A18DC"/>
    <w:rsid w:val="006B6C68"/>
    <w:rsid w:val="006C3915"/>
    <w:rsid w:val="006C51A7"/>
    <w:rsid w:val="006C7304"/>
    <w:rsid w:val="006D2824"/>
    <w:rsid w:val="006D4830"/>
    <w:rsid w:val="006D6742"/>
    <w:rsid w:val="006E3654"/>
    <w:rsid w:val="006F5826"/>
    <w:rsid w:val="006F5C14"/>
    <w:rsid w:val="00700181"/>
    <w:rsid w:val="007058CB"/>
    <w:rsid w:val="00706717"/>
    <w:rsid w:val="007141CF"/>
    <w:rsid w:val="00723C54"/>
    <w:rsid w:val="007426A2"/>
    <w:rsid w:val="00745146"/>
    <w:rsid w:val="0074635B"/>
    <w:rsid w:val="00752AEA"/>
    <w:rsid w:val="007577E3"/>
    <w:rsid w:val="00760DB3"/>
    <w:rsid w:val="00767204"/>
    <w:rsid w:val="007751BC"/>
    <w:rsid w:val="007A2D53"/>
    <w:rsid w:val="007A79A2"/>
    <w:rsid w:val="007C0D2D"/>
    <w:rsid w:val="007C3936"/>
    <w:rsid w:val="007C5BB6"/>
    <w:rsid w:val="007C79F0"/>
    <w:rsid w:val="007D2129"/>
    <w:rsid w:val="007D5159"/>
    <w:rsid w:val="007E214E"/>
    <w:rsid w:val="007E223E"/>
    <w:rsid w:val="007E6507"/>
    <w:rsid w:val="007F2B8E"/>
    <w:rsid w:val="007F2DB0"/>
    <w:rsid w:val="007F2DC6"/>
    <w:rsid w:val="00801CBB"/>
    <w:rsid w:val="00807247"/>
    <w:rsid w:val="00823976"/>
    <w:rsid w:val="00831A1C"/>
    <w:rsid w:val="00831F15"/>
    <w:rsid w:val="00834052"/>
    <w:rsid w:val="00840C2B"/>
    <w:rsid w:val="00843AF8"/>
    <w:rsid w:val="00850889"/>
    <w:rsid w:val="00853015"/>
    <w:rsid w:val="00853907"/>
    <w:rsid w:val="00863B26"/>
    <w:rsid w:val="0087029B"/>
    <w:rsid w:val="008739FD"/>
    <w:rsid w:val="00874DC5"/>
    <w:rsid w:val="0089189D"/>
    <w:rsid w:val="00892E55"/>
    <w:rsid w:val="008A7BB6"/>
    <w:rsid w:val="008B7D75"/>
    <w:rsid w:val="008C1A18"/>
    <w:rsid w:val="008C448A"/>
    <w:rsid w:val="008E11A5"/>
    <w:rsid w:val="008E372C"/>
    <w:rsid w:val="008F4EF5"/>
    <w:rsid w:val="00901480"/>
    <w:rsid w:val="00912309"/>
    <w:rsid w:val="00920FD4"/>
    <w:rsid w:val="00924861"/>
    <w:rsid w:val="00931772"/>
    <w:rsid w:val="00947C09"/>
    <w:rsid w:val="00973D0E"/>
    <w:rsid w:val="00983D91"/>
    <w:rsid w:val="009A5EC3"/>
    <w:rsid w:val="009A6F54"/>
    <w:rsid w:val="009A7E67"/>
    <w:rsid w:val="009B0823"/>
    <w:rsid w:val="009C77B8"/>
    <w:rsid w:val="009D2EBF"/>
    <w:rsid w:val="009F7004"/>
    <w:rsid w:val="00A02727"/>
    <w:rsid w:val="00A128BC"/>
    <w:rsid w:val="00A53DCE"/>
    <w:rsid w:val="00A6057A"/>
    <w:rsid w:val="00A608BD"/>
    <w:rsid w:val="00A63CBC"/>
    <w:rsid w:val="00A6787A"/>
    <w:rsid w:val="00A74017"/>
    <w:rsid w:val="00A76F00"/>
    <w:rsid w:val="00A91E59"/>
    <w:rsid w:val="00A9435B"/>
    <w:rsid w:val="00A97846"/>
    <w:rsid w:val="00A97A1E"/>
    <w:rsid w:val="00AA332C"/>
    <w:rsid w:val="00AC24C7"/>
    <w:rsid w:val="00AC27F8"/>
    <w:rsid w:val="00AD4C72"/>
    <w:rsid w:val="00AD4D7E"/>
    <w:rsid w:val="00AE20ED"/>
    <w:rsid w:val="00AE2AEE"/>
    <w:rsid w:val="00B10491"/>
    <w:rsid w:val="00B1394B"/>
    <w:rsid w:val="00B230EC"/>
    <w:rsid w:val="00B47276"/>
    <w:rsid w:val="00B47A79"/>
    <w:rsid w:val="00B50DC4"/>
    <w:rsid w:val="00B56EDC"/>
    <w:rsid w:val="00B67C16"/>
    <w:rsid w:val="00B815EA"/>
    <w:rsid w:val="00B90EC8"/>
    <w:rsid w:val="00BB1F84"/>
    <w:rsid w:val="00BE5468"/>
    <w:rsid w:val="00BF24C9"/>
    <w:rsid w:val="00BF5830"/>
    <w:rsid w:val="00C026D8"/>
    <w:rsid w:val="00C03E2D"/>
    <w:rsid w:val="00C11EAC"/>
    <w:rsid w:val="00C20158"/>
    <w:rsid w:val="00C305D7"/>
    <w:rsid w:val="00C30F2A"/>
    <w:rsid w:val="00C42911"/>
    <w:rsid w:val="00C43456"/>
    <w:rsid w:val="00C46A42"/>
    <w:rsid w:val="00C57D4A"/>
    <w:rsid w:val="00C61593"/>
    <w:rsid w:val="00C65C0C"/>
    <w:rsid w:val="00C712CF"/>
    <w:rsid w:val="00C808FC"/>
    <w:rsid w:val="00CA015B"/>
    <w:rsid w:val="00CB7D0F"/>
    <w:rsid w:val="00CC17EC"/>
    <w:rsid w:val="00CC5946"/>
    <w:rsid w:val="00CC5DCA"/>
    <w:rsid w:val="00CD7D97"/>
    <w:rsid w:val="00CE2947"/>
    <w:rsid w:val="00CE3EE6"/>
    <w:rsid w:val="00CE4BA1"/>
    <w:rsid w:val="00CF6643"/>
    <w:rsid w:val="00D000C7"/>
    <w:rsid w:val="00D52A9D"/>
    <w:rsid w:val="00D55AAD"/>
    <w:rsid w:val="00D62343"/>
    <w:rsid w:val="00D725FF"/>
    <w:rsid w:val="00D747AE"/>
    <w:rsid w:val="00D75738"/>
    <w:rsid w:val="00D83AF7"/>
    <w:rsid w:val="00D9226C"/>
    <w:rsid w:val="00D9300A"/>
    <w:rsid w:val="00DA20BD"/>
    <w:rsid w:val="00DB3A6C"/>
    <w:rsid w:val="00DB70CC"/>
    <w:rsid w:val="00DD5C26"/>
    <w:rsid w:val="00DE50DB"/>
    <w:rsid w:val="00DF6AE1"/>
    <w:rsid w:val="00E063C1"/>
    <w:rsid w:val="00E26CA5"/>
    <w:rsid w:val="00E46FD5"/>
    <w:rsid w:val="00E544BB"/>
    <w:rsid w:val="00E56545"/>
    <w:rsid w:val="00E81801"/>
    <w:rsid w:val="00E83C2A"/>
    <w:rsid w:val="00E84952"/>
    <w:rsid w:val="00E85004"/>
    <w:rsid w:val="00EA5D4F"/>
    <w:rsid w:val="00EB6C56"/>
    <w:rsid w:val="00EB6F21"/>
    <w:rsid w:val="00EC2F98"/>
    <w:rsid w:val="00EC30F3"/>
    <w:rsid w:val="00EC7895"/>
    <w:rsid w:val="00ED009E"/>
    <w:rsid w:val="00ED2982"/>
    <w:rsid w:val="00ED4653"/>
    <w:rsid w:val="00ED54E0"/>
    <w:rsid w:val="00EE7BF8"/>
    <w:rsid w:val="00EF532C"/>
    <w:rsid w:val="00F019D5"/>
    <w:rsid w:val="00F01C13"/>
    <w:rsid w:val="00F104F7"/>
    <w:rsid w:val="00F3064B"/>
    <w:rsid w:val="00F32397"/>
    <w:rsid w:val="00F34B26"/>
    <w:rsid w:val="00F34F88"/>
    <w:rsid w:val="00F40595"/>
    <w:rsid w:val="00F6302C"/>
    <w:rsid w:val="00F810D7"/>
    <w:rsid w:val="00F92E10"/>
    <w:rsid w:val="00FA2BA8"/>
    <w:rsid w:val="00FA5EBC"/>
    <w:rsid w:val="00FD224A"/>
    <w:rsid w:val="00FD32B3"/>
    <w:rsid w:val="00FD4562"/>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6DA5AC"/>
  <w15:chartTrackingRefBased/>
  <w15:docId w15:val="{BF27553D-6F2A-48DE-9E27-6C372BB3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7D"/>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BF4F-C6EA-4D97-85E0-1B669D67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Bertola, Elena</dc:creator>
  <cp:keywords/>
  <dc:description/>
  <cp:lastModifiedBy>Bertola, Elena</cp:lastModifiedBy>
  <cp:revision>2</cp:revision>
  <dcterms:created xsi:type="dcterms:W3CDTF">2022-09-26T08:01:00Z</dcterms:created>
  <dcterms:modified xsi:type="dcterms:W3CDTF">2022-09-26T08:01:00Z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1bbea101-0953-4aaa-a5fb-19602bc623ee</vt:lpwstr>
  </property>
</Properties>
</file>