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442D" w14:textId="77777777" w:rsidR="00AF572D" w:rsidRPr="006E3E8B" w:rsidRDefault="00AF572D" w:rsidP="00AF572D">
      <w:pPr>
        <w:rPr>
          <w:szCs w:val="22"/>
        </w:rPr>
      </w:pPr>
    </w:p>
    <w:p w14:paraId="5CEDF6D7" w14:textId="76DC5787" w:rsidR="00D36463" w:rsidRDefault="00D36463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  <w:r w:rsidRPr="00D36463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 xml:space="preserve">WTO National Seminar </w:t>
      </w:r>
      <w:r w:rsidR="00B53E46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 xml:space="preserve">ON </w:t>
      </w:r>
      <w:r w:rsidRPr="00D36463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Trade in Services, Services Domestic Regulation</w:t>
      </w:r>
      <w:r w:rsidR="002B57C2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, and services trade policy analytical tools</w:t>
      </w:r>
    </w:p>
    <w:p w14:paraId="5F910B45" w14:textId="77777777" w:rsidR="002B57C2" w:rsidRPr="00D36463" w:rsidRDefault="002B57C2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</w:p>
    <w:p w14:paraId="30237172" w14:textId="77777777" w:rsidR="00D36463" w:rsidRPr="00D36463" w:rsidRDefault="00D36463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  <w:r w:rsidRPr="00D36463"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  <w:t>Jamaica</w:t>
      </w:r>
    </w:p>
    <w:p w14:paraId="5AC3E600" w14:textId="77777777" w:rsidR="00D36463" w:rsidRPr="00D36463" w:rsidRDefault="00D36463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</w:p>
    <w:p w14:paraId="42C89CD5" w14:textId="10B135B4" w:rsidR="000B3766" w:rsidRPr="00D36463" w:rsidRDefault="00ED37D2" w:rsidP="00D36463">
      <w:pPr>
        <w:tabs>
          <w:tab w:val="clear" w:pos="720"/>
        </w:tabs>
        <w:spacing w:before="480" w:after="240"/>
        <w:contextualSpacing/>
        <w:jc w:val="center"/>
        <w:rPr>
          <w:rFonts w:ascii="Verdana" w:hAnsi="Verdana"/>
          <w:b/>
          <w:caps/>
          <w:color w:val="006283"/>
          <w:kern w:val="28"/>
          <w:sz w:val="18"/>
          <w:szCs w:val="52"/>
          <w:lang w:val="en-GB" w:eastAsia="en-US"/>
        </w:rPr>
      </w:pPr>
      <w:r>
        <w:rPr>
          <w:rFonts w:ascii="Verdana" w:hAnsi="Verdana"/>
          <w:b/>
          <w:caps/>
          <w:color w:val="006283"/>
          <w:kern w:val="28"/>
          <w:sz w:val="18"/>
          <w:szCs w:val="52"/>
          <w:highlight w:val="yellow"/>
          <w:lang w:val="en-GB" w:eastAsia="en-US"/>
        </w:rPr>
        <w:t>REVISED</w:t>
      </w:r>
      <w:r w:rsidR="00D36463" w:rsidRPr="00D36463">
        <w:rPr>
          <w:rFonts w:ascii="Verdana" w:hAnsi="Verdana"/>
          <w:b/>
          <w:caps/>
          <w:color w:val="006283"/>
          <w:kern w:val="28"/>
          <w:sz w:val="18"/>
          <w:szCs w:val="52"/>
          <w:highlight w:val="yellow"/>
          <w:lang w:val="en-GB" w:eastAsia="en-US"/>
        </w:rPr>
        <w:t xml:space="preserve"> DRAFT</w:t>
      </w:r>
    </w:p>
    <w:p w14:paraId="2BBA18C8" w14:textId="77777777" w:rsidR="00321F41" w:rsidRPr="006E3E8B" w:rsidRDefault="00321F41" w:rsidP="009C7F21">
      <w:pPr>
        <w:jc w:val="center"/>
        <w:rPr>
          <w:rFonts w:ascii="Verdana" w:hAnsi="Verdana"/>
          <w:b/>
          <w:sz w:val="20"/>
        </w:rPr>
      </w:pPr>
    </w:p>
    <w:p w14:paraId="696B3BEA" w14:textId="1D5A3E64" w:rsidR="00665675" w:rsidRDefault="00B157E1" w:rsidP="00942231">
      <w:pPr>
        <w:spacing w:after="240"/>
        <w:rPr>
          <w:rFonts w:ascii="Verdana" w:hAnsi="Verdana"/>
          <w:bCs/>
          <w:sz w:val="20"/>
        </w:rPr>
      </w:pPr>
      <w:r w:rsidRPr="006E3E8B">
        <w:rPr>
          <w:rFonts w:ascii="Verdana" w:hAnsi="Verdana"/>
          <w:b/>
          <w:sz w:val="20"/>
          <w:u w:val="single"/>
        </w:rPr>
        <w:t>NOTE</w:t>
      </w:r>
      <w:r w:rsidRPr="006E3E8B">
        <w:rPr>
          <w:rFonts w:ascii="Verdana" w:hAnsi="Verdana"/>
          <w:bCs/>
          <w:sz w:val="20"/>
        </w:rPr>
        <w:t xml:space="preserve">: </w:t>
      </w:r>
      <w:r w:rsidR="009D6016" w:rsidRPr="00F05B40">
        <w:rPr>
          <w:rFonts w:ascii="Verdana" w:hAnsi="Verdana"/>
          <w:bCs/>
          <w:sz w:val="20"/>
        </w:rPr>
        <w:t>T</w:t>
      </w:r>
      <w:r w:rsidR="00CB5BA0" w:rsidRPr="00F05B40">
        <w:rPr>
          <w:rFonts w:ascii="Verdana" w:hAnsi="Verdana"/>
          <w:bCs/>
          <w:sz w:val="20"/>
        </w:rPr>
        <w:t xml:space="preserve">he program is </w:t>
      </w:r>
      <w:r w:rsidR="00B70CE3" w:rsidRPr="00F05B40">
        <w:rPr>
          <w:rFonts w:ascii="Verdana" w:hAnsi="Verdana"/>
          <w:bCs/>
          <w:sz w:val="20"/>
        </w:rPr>
        <w:t>structured</w:t>
      </w:r>
      <w:r w:rsidR="00CB5BA0" w:rsidRPr="00F05B40">
        <w:rPr>
          <w:rFonts w:ascii="Verdana" w:hAnsi="Verdana"/>
          <w:bCs/>
          <w:sz w:val="20"/>
        </w:rPr>
        <w:t xml:space="preserve"> </w:t>
      </w:r>
      <w:r w:rsidR="009D6016" w:rsidRPr="00F05B40">
        <w:rPr>
          <w:rFonts w:ascii="Verdana" w:hAnsi="Verdana"/>
          <w:bCs/>
          <w:sz w:val="20"/>
        </w:rPr>
        <w:t xml:space="preserve">over </w:t>
      </w:r>
      <w:r w:rsidR="00B612C6">
        <w:rPr>
          <w:rFonts w:ascii="Verdana" w:hAnsi="Verdana"/>
          <w:bCs/>
          <w:sz w:val="20"/>
        </w:rPr>
        <w:t>three</w:t>
      </w:r>
      <w:r w:rsidR="009D6016" w:rsidRPr="00F05B40">
        <w:rPr>
          <w:rFonts w:ascii="Verdana" w:hAnsi="Verdana"/>
          <w:bCs/>
          <w:sz w:val="20"/>
        </w:rPr>
        <w:t xml:space="preserve"> days to</w:t>
      </w:r>
      <w:r w:rsidR="00D658C9" w:rsidRPr="00F05B40">
        <w:rPr>
          <w:rFonts w:ascii="Verdana" w:hAnsi="Verdana"/>
          <w:bCs/>
          <w:sz w:val="20"/>
        </w:rPr>
        <w:t xml:space="preserve"> cover the role of services and services trade for development,</w:t>
      </w:r>
      <w:r w:rsidR="009D6016" w:rsidRPr="00F05B40">
        <w:rPr>
          <w:rFonts w:ascii="Verdana" w:hAnsi="Verdana"/>
          <w:bCs/>
          <w:sz w:val="20"/>
        </w:rPr>
        <w:t xml:space="preserve"> the </w:t>
      </w:r>
      <w:r w:rsidR="00835F43" w:rsidRPr="00F05B40">
        <w:rPr>
          <w:rFonts w:ascii="Verdana" w:hAnsi="Verdana"/>
          <w:bCs/>
          <w:sz w:val="20"/>
        </w:rPr>
        <w:t xml:space="preserve">WTO </w:t>
      </w:r>
      <w:r w:rsidR="00D658C9" w:rsidRPr="00F05B40">
        <w:rPr>
          <w:rFonts w:ascii="Verdana" w:hAnsi="Verdana"/>
          <w:bCs/>
          <w:sz w:val="20"/>
        </w:rPr>
        <w:t>G</w:t>
      </w:r>
      <w:r w:rsidR="00835F43" w:rsidRPr="00F05B40">
        <w:rPr>
          <w:rFonts w:ascii="Verdana" w:hAnsi="Verdana"/>
          <w:bCs/>
          <w:sz w:val="20"/>
        </w:rPr>
        <w:t>eneral Agreement on Trade in Services (G</w:t>
      </w:r>
      <w:r w:rsidR="00D658C9" w:rsidRPr="00F05B40">
        <w:rPr>
          <w:rFonts w:ascii="Verdana" w:hAnsi="Verdana"/>
          <w:bCs/>
          <w:sz w:val="20"/>
        </w:rPr>
        <w:t>ATS</w:t>
      </w:r>
      <w:r w:rsidR="00835F43" w:rsidRPr="00F05B40">
        <w:rPr>
          <w:rFonts w:ascii="Verdana" w:hAnsi="Verdana"/>
          <w:bCs/>
          <w:sz w:val="20"/>
        </w:rPr>
        <w:t>)</w:t>
      </w:r>
      <w:r w:rsidR="00D658C9" w:rsidRPr="00F05B40">
        <w:rPr>
          <w:rFonts w:ascii="Verdana" w:hAnsi="Verdana"/>
          <w:bCs/>
          <w:sz w:val="20"/>
        </w:rPr>
        <w:t xml:space="preserve">, its key obligations and </w:t>
      </w:r>
      <w:r w:rsidR="00334117" w:rsidRPr="00F05B40">
        <w:rPr>
          <w:rFonts w:ascii="Verdana" w:hAnsi="Verdana"/>
          <w:bCs/>
          <w:sz w:val="20"/>
        </w:rPr>
        <w:t>S</w:t>
      </w:r>
      <w:r w:rsidR="00D658C9" w:rsidRPr="00F05B40">
        <w:rPr>
          <w:rFonts w:ascii="Verdana" w:hAnsi="Verdana"/>
          <w:bCs/>
          <w:sz w:val="20"/>
        </w:rPr>
        <w:t>chedules</w:t>
      </w:r>
      <w:r w:rsidR="00B70CE3" w:rsidRPr="00F05B40">
        <w:rPr>
          <w:rFonts w:ascii="Verdana" w:hAnsi="Verdana"/>
          <w:bCs/>
          <w:sz w:val="20"/>
        </w:rPr>
        <w:t xml:space="preserve"> of </w:t>
      </w:r>
      <w:r w:rsidR="00334117" w:rsidRPr="00F05B40">
        <w:rPr>
          <w:rFonts w:ascii="Verdana" w:hAnsi="Verdana"/>
          <w:bCs/>
          <w:sz w:val="20"/>
        </w:rPr>
        <w:t xml:space="preserve">specific </w:t>
      </w:r>
      <w:r w:rsidR="00B70CE3" w:rsidRPr="00F05B40">
        <w:rPr>
          <w:rFonts w:ascii="Verdana" w:hAnsi="Verdana"/>
          <w:bCs/>
          <w:sz w:val="20"/>
        </w:rPr>
        <w:t>commitments</w:t>
      </w:r>
      <w:r w:rsidR="00D658C9" w:rsidRPr="00F05B40">
        <w:rPr>
          <w:rFonts w:ascii="Verdana" w:hAnsi="Verdana"/>
          <w:bCs/>
          <w:sz w:val="20"/>
        </w:rPr>
        <w:t>, Services Domestic Regulation</w:t>
      </w:r>
      <w:r w:rsidR="002B57C2">
        <w:rPr>
          <w:rFonts w:ascii="Verdana" w:hAnsi="Verdana"/>
          <w:bCs/>
          <w:sz w:val="20"/>
        </w:rPr>
        <w:t>,</w:t>
      </w:r>
      <w:r w:rsidR="00D93BEF">
        <w:rPr>
          <w:rFonts w:ascii="Verdana" w:hAnsi="Verdana"/>
          <w:bCs/>
          <w:sz w:val="20"/>
        </w:rPr>
        <w:t xml:space="preserve"> and available </w:t>
      </w:r>
      <w:r w:rsidR="002B57C2">
        <w:rPr>
          <w:rFonts w:ascii="Verdana" w:hAnsi="Verdana"/>
          <w:bCs/>
          <w:sz w:val="20"/>
        </w:rPr>
        <w:t xml:space="preserve">services trade policy analytical </w:t>
      </w:r>
      <w:r w:rsidR="00D93BEF">
        <w:rPr>
          <w:rFonts w:ascii="Verdana" w:hAnsi="Verdana"/>
          <w:bCs/>
          <w:sz w:val="20"/>
        </w:rPr>
        <w:t xml:space="preserve">tools </w:t>
      </w:r>
      <w:r w:rsidR="002B57C2">
        <w:rPr>
          <w:rFonts w:ascii="Verdana" w:hAnsi="Verdana"/>
          <w:bCs/>
          <w:sz w:val="20"/>
        </w:rPr>
        <w:t>(</w:t>
      </w:r>
      <w:r w:rsidR="00D93BEF">
        <w:rPr>
          <w:rFonts w:ascii="Verdana" w:hAnsi="Verdana"/>
          <w:bCs/>
          <w:sz w:val="20"/>
        </w:rPr>
        <w:t>I-TIP Services</w:t>
      </w:r>
      <w:r w:rsidR="002B57C2">
        <w:rPr>
          <w:rFonts w:ascii="Verdana" w:hAnsi="Verdana"/>
          <w:bCs/>
          <w:sz w:val="20"/>
        </w:rPr>
        <w:t>)</w:t>
      </w:r>
      <w:r w:rsidR="00D658C9" w:rsidRPr="006E3E8B">
        <w:rPr>
          <w:rFonts w:ascii="Verdana" w:hAnsi="Verdana"/>
          <w:bCs/>
          <w:sz w:val="20"/>
        </w:rPr>
        <w:t xml:space="preserve">. </w:t>
      </w:r>
      <w:r w:rsidR="00B70CE3" w:rsidRPr="006E3E8B">
        <w:rPr>
          <w:rFonts w:ascii="Verdana" w:hAnsi="Verdana"/>
          <w:bCs/>
          <w:sz w:val="20"/>
        </w:rPr>
        <w:t>T</w:t>
      </w:r>
      <w:r w:rsidR="009D1F5B" w:rsidRPr="006E3E8B">
        <w:rPr>
          <w:rFonts w:ascii="Verdana" w:hAnsi="Verdana"/>
          <w:bCs/>
          <w:sz w:val="20"/>
        </w:rPr>
        <w:t xml:space="preserve">ime </w:t>
      </w:r>
      <w:r w:rsidR="00161F2D">
        <w:rPr>
          <w:rFonts w:ascii="Verdana" w:hAnsi="Verdana"/>
          <w:bCs/>
          <w:sz w:val="20"/>
        </w:rPr>
        <w:t xml:space="preserve">is </w:t>
      </w:r>
      <w:r w:rsidR="00B70CE3" w:rsidRPr="006E3E8B">
        <w:rPr>
          <w:rFonts w:ascii="Verdana" w:hAnsi="Verdana"/>
          <w:bCs/>
          <w:sz w:val="20"/>
        </w:rPr>
        <w:t xml:space="preserve">also </w:t>
      </w:r>
      <w:r w:rsidR="009D1F5B" w:rsidRPr="006E3E8B">
        <w:rPr>
          <w:rFonts w:ascii="Verdana" w:hAnsi="Verdana"/>
          <w:bCs/>
          <w:sz w:val="20"/>
        </w:rPr>
        <w:t xml:space="preserve">allocated </w:t>
      </w:r>
      <w:r w:rsidR="00CE4CE2">
        <w:rPr>
          <w:rFonts w:ascii="Verdana" w:hAnsi="Verdana"/>
          <w:bCs/>
          <w:sz w:val="20"/>
        </w:rPr>
        <w:t>to</w:t>
      </w:r>
      <w:r w:rsidR="00CE4CE2" w:rsidRPr="006E3E8B">
        <w:rPr>
          <w:rFonts w:ascii="Verdana" w:hAnsi="Verdana"/>
          <w:bCs/>
          <w:sz w:val="20"/>
        </w:rPr>
        <w:t xml:space="preserve"> </w:t>
      </w:r>
      <w:r w:rsidR="00B70CE3" w:rsidRPr="006E3E8B">
        <w:rPr>
          <w:rFonts w:ascii="Verdana" w:hAnsi="Verdana"/>
          <w:bCs/>
          <w:sz w:val="20"/>
        </w:rPr>
        <w:t xml:space="preserve">representatives from </w:t>
      </w:r>
      <w:r w:rsidR="008A04AF" w:rsidRPr="006E3E8B">
        <w:rPr>
          <w:rFonts w:ascii="Verdana" w:hAnsi="Verdana"/>
          <w:bCs/>
          <w:sz w:val="20"/>
        </w:rPr>
        <w:t>Jamaica</w:t>
      </w:r>
      <w:r w:rsidR="00161F2D">
        <w:rPr>
          <w:rFonts w:ascii="Verdana" w:hAnsi="Verdana"/>
          <w:bCs/>
          <w:sz w:val="20"/>
        </w:rPr>
        <w:t xml:space="preserve"> to demonstrate </w:t>
      </w:r>
      <w:r w:rsidR="00161F2D" w:rsidRPr="00161F2D">
        <w:rPr>
          <w:rFonts w:ascii="Verdana" w:hAnsi="Verdana"/>
          <w:bCs/>
          <w:sz w:val="20"/>
        </w:rPr>
        <w:t>services portals that have been developed locally</w:t>
      </w:r>
      <w:r w:rsidR="00161F2D">
        <w:rPr>
          <w:rFonts w:ascii="Verdana" w:hAnsi="Verdana"/>
          <w:bCs/>
          <w:sz w:val="20"/>
        </w:rPr>
        <w:t>.</w:t>
      </w:r>
      <w:r w:rsidR="00B70CE3" w:rsidRPr="006E3E8B">
        <w:rPr>
          <w:rFonts w:ascii="Verdana" w:hAnsi="Verdana"/>
          <w:bCs/>
          <w:sz w:val="20"/>
        </w:rPr>
        <w:t xml:space="preserve"> </w:t>
      </w:r>
      <w:r w:rsidR="00161F2D">
        <w:rPr>
          <w:rFonts w:ascii="Verdana" w:hAnsi="Verdana"/>
          <w:bCs/>
          <w:sz w:val="20"/>
        </w:rPr>
        <w:t xml:space="preserve">This is </w:t>
      </w:r>
      <w:r w:rsidR="002C2D5C" w:rsidRPr="006E3E8B">
        <w:rPr>
          <w:rFonts w:ascii="Verdana" w:hAnsi="Verdana"/>
          <w:bCs/>
          <w:sz w:val="20"/>
        </w:rPr>
        <w:t xml:space="preserve">followed by discussions, </w:t>
      </w:r>
      <w:r w:rsidR="00B70CE3" w:rsidRPr="006E3E8B">
        <w:rPr>
          <w:rFonts w:ascii="Verdana" w:hAnsi="Verdana"/>
          <w:bCs/>
          <w:sz w:val="20"/>
        </w:rPr>
        <w:t xml:space="preserve">as well as </w:t>
      </w:r>
      <w:r w:rsidR="009D1F5B" w:rsidRPr="006E3E8B">
        <w:rPr>
          <w:rFonts w:ascii="Verdana" w:hAnsi="Verdana"/>
          <w:bCs/>
          <w:sz w:val="20"/>
        </w:rPr>
        <w:t>practical exercises and case studies</w:t>
      </w:r>
      <w:r w:rsidR="002C2D5C" w:rsidRPr="006E3E8B">
        <w:rPr>
          <w:rFonts w:ascii="Verdana" w:hAnsi="Verdana"/>
          <w:bCs/>
          <w:sz w:val="20"/>
        </w:rPr>
        <w:t xml:space="preserve"> where </w:t>
      </w:r>
      <w:r w:rsidR="00E443B2" w:rsidRPr="006E3E8B">
        <w:rPr>
          <w:rFonts w:ascii="Verdana" w:hAnsi="Verdana"/>
          <w:bCs/>
          <w:sz w:val="20"/>
        </w:rPr>
        <w:t>applicable</w:t>
      </w:r>
      <w:r w:rsidR="009D1F5B" w:rsidRPr="006E3E8B">
        <w:rPr>
          <w:rFonts w:ascii="Verdana" w:hAnsi="Verdana"/>
          <w:bCs/>
          <w:sz w:val="20"/>
        </w:rPr>
        <w:t xml:space="preserve">. </w:t>
      </w:r>
    </w:p>
    <w:p w14:paraId="4F3AC9BD" w14:textId="77777777" w:rsidR="00444209" w:rsidRDefault="00444209" w:rsidP="00942231">
      <w:pPr>
        <w:spacing w:after="240"/>
        <w:rPr>
          <w:rFonts w:ascii="Verdana" w:hAnsi="Verdana"/>
          <w:bCs/>
          <w:sz w:val="20"/>
        </w:rPr>
      </w:pPr>
    </w:p>
    <w:p w14:paraId="235FD4D3" w14:textId="640D368E" w:rsidR="00341064" w:rsidRPr="00341064" w:rsidRDefault="00926985" w:rsidP="00341064">
      <w:pPr>
        <w:shd w:val="clear" w:color="auto" w:fill="C5E0B3" w:themeFill="accent6" w:themeFillTint="66"/>
        <w:spacing w:after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Tuesday, 17 June 2025</w:t>
      </w:r>
    </w:p>
    <w:p w14:paraId="2038D7C3" w14:textId="77777777" w:rsidR="000B3766" w:rsidRPr="006E3E8B" w:rsidRDefault="000B3766" w:rsidP="00AF572D">
      <w:pPr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83"/>
        <w:gridCol w:w="6443"/>
      </w:tblGrid>
      <w:tr w:rsidR="00995A9D" w:rsidRPr="006E3E8B" w14:paraId="5265F983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0CE2" w14:textId="6CEB6C69" w:rsidR="00995A9D" w:rsidRPr="006E3E8B" w:rsidRDefault="00995A9D" w:rsidP="00C55F5E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 xml:space="preserve">8h30 </w:t>
            </w:r>
            <w:r w:rsidR="0025368A" w:rsidRPr="006E3E8B">
              <w:rPr>
                <w:rFonts w:ascii="Verdana" w:hAnsi="Verdana"/>
                <w:sz w:val="20"/>
              </w:rPr>
              <w:t>– 9</w:t>
            </w:r>
            <w:r w:rsidRPr="006E3E8B">
              <w:rPr>
                <w:rFonts w:ascii="Verdana" w:hAnsi="Verdana"/>
                <w:sz w:val="20"/>
              </w:rPr>
              <w:t>h00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1078" w14:textId="77777777" w:rsidR="00995A9D" w:rsidRPr="006E3E8B" w:rsidRDefault="00995A9D" w:rsidP="00C55F5E">
            <w:pPr>
              <w:rPr>
                <w:rFonts w:ascii="Verdana" w:hAnsi="Verdana"/>
                <w:b/>
                <w:sz w:val="20"/>
              </w:rPr>
            </w:pPr>
            <w:r w:rsidRPr="006E3E8B">
              <w:rPr>
                <w:rFonts w:ascii="Verdana" w:hAnsi="Verdana"/>
                <w:b/>
                <w:sz w:val="20"/>
              </w:rPr>
              <w:t>Registration</w:t>
            </w:r>
          </w:p>
          <w:p w14:paraId="5F762493" w14:textId="462C442B" w:rsidR="0025368A" w:rsidRPr="006E3E8B" w:rsidRDefault="0025368A" w:rsidP="00C55F5E">
            <w:pPr>
              <w:rPr>
                <w:rFonts w:ascii="Verdana" w:hAnsi="Verdana"/>
                <w:sz w:val="20"/>
              </w:rPr>
            </w:pPr>
          </w:p>
        </w:tc>
      </w:tr>
      <w:tr w:rsidR="00995A9D" w:rsidRPr="006E3E8B" w14:paraId="6127E776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EFF2" w14:textId="77961A9E" w:rsidR="00995A9D" w:rsidRPr="006E3E8B" w:rsidRDefault="00995A9D" w:rsidP="00C55F5E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 xml:space="preserve">9h00 </w:t>
            </w:r>
            <w:r w:rsidR="0025368A" w:rsidRPr="006E3E8B">
              <w:rPr>
                <w:rFonts w:ascii="Verdana" w:hAnsi="Verdana"/>
                <w:sz w:val="20"/>
              </w:rPr>
              <w:t>–</w:t>
            </w:r>
            <w:r w:rsidRPr="006E3E8B">
              <w:rPr>
                <w:rFonts w:ascii="Verdana" w:hAnsi="Verdana"/>
                <w:sz w:val="20"/>
              </w:rPr>
              <w:t xml:space="preserve"> 9h30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9EE5" w14:textId="77777777" w:rsidR="00995A9D" w:rsidRPr="006E3E8B" w:rsidRDefault="0025368A" w:rsidP="00835F43">
            <w:pPr>
              <w:spacing w:after="120"/>
              <w:rPr>
                <w:rFonts w:ascii="Verdana" w:hAnsi="Verdana"/>
                <w:b/>
                <w:sz w:val="20"/>
              </w:rPr>
            </w:pPr>
            <w:r w:rsidRPr="006E3E8B">
              <w:rPr>
                <w:rFonts w:ascii="Verdana" w:hAnsi="Verdana"/>
                <w:b/>
                <w:sz w:val="20"/>
              </w:rPr>
              <w:t>Opening Session</w:t>
            </w:r>
          </w:p>
          <w:p w14:paraId="2D228D06" w14:textId="5984D910" w:rsidR="0025368A" w:rsidRPr="006E3E8B" w:rsidRDefault="0025368A" w:rsidP="00835F43">
            <w:pPr>
              <w:pStyle w:val="ListParagraph"/>
              <w:numPr>
                <w:ilvl w:val="0"/>
                <w:numId w:val="22"/>
              </w:numPr>
              <w:spacing w:after="120"/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 xml:space="preserve">Welcome and </w:t>
            </w:r>
            <w:r w:rsidR="003B30C5" w:rsidRPr="006E3E8B">
              <w:rPr>
                <w:sz w:val="20"/>
                <w:lang w:val="en-US"/>
              </w:rPr>
              <w:t>o</w:t>
            </w:r>
            <w:r w:rsidRPr="006E3E8B">
              <w:rPr>
                <w:sz w:val="20"/>
                <w:lang w:val="en-US"/>
              </w:rPr>
              <w:t xml:space="preserve">pening </w:t>
            </w:r>
            <w:r w:rsidR="003B30C5" w:rsidRPr="006E3E8B">
              <w:rPr>
                <w:sz w:val="20"/>
                <w:lang w:val="en-US"/>
              </w:rPr>
              <w:t>r</w:t>
            </w:r>
            <w:r w:rsidRPr="006E3E8B">
              <w:rPr>
                <w:sz w:val="20"/>
                <w:lang w:val="en-US"/>
              </w:rPr>
              <w:t>emarks</w:t>
            </w:r>
            <w:r w:rsidR="00BC6F4A" w:rsidRPr="006E3E8B">
              <w:rPr>
                <w:sz w:val="20"/>
                <w:lang w:val="en-US"/>
              </w:rPr>
              <w:t xml:space="preserve"> by </w:t>
            </w:r>
            <w:r w:rsidR="008A04AF" w:rsidRPr="006E3E8B">
              <w:rPr>
                <w:sz w:val="20"/>
                <w:lang w:val="en-US"/>
              </w:rPr>
              <w:t>Jamaica</w:t>
            </w:r>
          </w:p>
          <w:p w14:paraId="3A2823B4" w14:textId="39BA0163" w:rsidR="0025368A" w:rsidRPr="006E3E8B" w:rsidRDefault="0025368A" w:rsidP="00835F43">
            <w:pPr>
              <w:pStyle w:val="ListParagraph"/>
              <w:numPr>
                <w:ilvl w:val="0"/>
                <w:numId w:val="22"/>
              </w:numPr>
              <w:spacing w:after="120"/>
              <w:jc w:val="left"/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 xml:space="preserve">General </w:t>
            </w:r>
            <w:r w:rsidR="003B30C5" w:rsidRPr="006E3E8B">
              <w:rPr>
                <w:sz w:val="20"/>
                <w:lang w:val="en-US"/>
              </w:rPr>
              <w:t>i</w:t>
            </w:r>
            <w:r w:rsidRPr="006E3E8B">
              <w:rPr>
                <w:sz w:val="20"/>
                <w:lang w:val="en-US"/>
              </w:rPr>
              <w:t xml:space="preserve">ntroduction and </w:t>
            </w:r>
            <w:r w:rsidR="003B30C5" w:rsidRPr="006E3E8B">
              <w:rPr>
                <w:sz w:val="20"/>
                <w:lang w:val="en-US"/>
              </w:rPr>
              <w:t>o</w:t>
            </w:r>
            <w:r w:rsidRPr="006E3E8B">
              <w:rPr>
                <w:sz w:val="20"/>
                <w:lang w:val="en-US"/>
              </w:rPr>
              <w:t xml:space="preserve">bjectives of the </w:t>
            </w:r>
            <w:r w:rsidR="003B30C5" w:rsidRPr="006E3E8B">
              <w:rPr>
                <w:sz w:val="20"/>
                <w:lang w:val="en-US"/>
              </w:rPr>
              <w:t>workshop</w:t>
            </w:r>
            <w:r w:rsidR="00BC6F4A" w:rsidRPr="006E3E8B">
              <w:rPr>
                <w:sz w:val="20"/>
                <w:lang w:val="en-US"/>
              </w:rPr>
              <w:t xml:space="preserve"> by WTO Secretariat</w:t>
            </w:r>
            <w:r w:rsidR="00E23ACA" w:rsidRPr="006E3E8B">
              <w:rPr>
                <w:sz w:val="20"/>
                <w:lang w:val="en-US"/>
              </w:rPr>
              <w:t xml:space="preserve"> </w:t>
            </w:r>
          </w:p>
          <w:p w14:paraId="41F5D67F" w14:textId="0B300A6F" w:rsidR="00942231" w:rsidRPr="006E3E8B" w:rsidRDefault="00942231" w:rsidP="00835F43">
            <w:pPr>
              <w:pStyle w:val="ListParagraph"/>
              <w:numPr>
                <w:ilvl w:val="0"/>
                <w:numId w:val="22"/>
              </w:numPr>
              <w:spacing w:after="120"/>
              <w:jc w:val="left"/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>Participants' introductions</w:t>
            </w:r>
          </w:p>
          <w:p w14:paraId="209DCF56" w14:textId="53C4A62E" w:rsidR="0025368A" w:rsidRPr="006E3E8B" w:rsidRDefault="0025368A">
            <w:pPr>
              <w:tabs>
                <w:tab w:val="clear" w:pos="720"/>
              </w:tabs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25368A" w:rsidRPr="006E3E8B" w14:paraId="2869E579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70824" w14:textId="75E9F69C" w:rsidR="0025368A" w:rsidRPr="006E3E8B" w:rsidRDefault="00294FD2" w:rsidP="00C55F5E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>09</w:t>
            </w:r>
            <w:r w:rsidR="0025368A" w:rsidRPr="006E3E8B">
              <w:rPr>
                <w:rFonts w:ascii="Verdana" w:hAnsi="Verdana"/>
                <w:sz w:val="20"/>
              </w:rPr>
              <w:t>h</w:t>
            </w:r>
            <w:r w:rsidRPr="006E3E8B">
              <w:rPr>
                <w:rFonts w:ascii="Verdana" w:hAnsi="Verdana"/>
                <w:sz w:val="20"/>
              </w:rPr>
              <w:t>30</w:t>
            </w:r>
            <w:r w:rsidR="0025368A" w:rsidRPr="006E3E8B">
              <w:rPr>
                <w:rFonts w:ascii="Verdana" w:hAnsi="Verdana"/>
                <w:sz w:val="20"/>
              </w:rPr>
              <w:t xml:space="preserve"> – </w:t>
            </w:r>
            <w:r w:rsidR="00EF276A" w:rsidRPr="006E3E8B">
              <w:rPr>
                <w:rFonts w:ascii="Verdana" w:hAnsi="Verdana"/>
                <w:sz w:val="20"/>
              </w:rPr>
              <w:t>10h</w:t>
            </w:r>
            <w:r w:rsidR="00386E76" w:rsidRPr="006E3E8B">
              <w:rPr>
                <w:rFonts w:ascii="Verdana" w:hAnsi="Verdana"/>
                <w:sz w:val="20"/>
              </w:rPr>
              <w:t>3</w:t>
            </w:r>
            <w:r w:rsidRPr="006E3E8B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194F5" w14:textId="1B63729B" w:rsidR="0025368A" w:rsidRPr="006E3E8B" w:rsidRDefault="0025368A" w:rsidP="00776226">
            <w:pPr>
              <w:spacing w:after="120"/>
              <w:rPr>
                <w:rFonts w:ascii="Verdana" w:hAnsi="Verdana"/>
                <w:b/>
                <w:sz w:val="20"/>
              </w:rPr>
            </w:pPr>
            <w:r w:rsidRPr="006E3E8B">
              <w:rPr>
                <w:rFonts w:ascii="Verdana" w:hAnsi="Verdana"/>
                <w:b/>
                <w:sz w:val="20"/>
              </w:rPr>
              <w:t xml:space="preserve">The </w:t>
            </w:r>
            <w:r w:rsidR="00942231" w:rsidRPr="006E3E8B">
              <w:rPr>
                <w:rFonts w:ascii="Verdana" w:hAnsi="Verdana"/>
                <w:b/>
                <w:sz w:val="20"/>
              </w:rPr>
              <w:t>r</w:t>
            </w:r>
            <w:r w:rsidRPr="006E3E8B">
              <w:rPr>
                <w:rFonts w:ascii="Verdana" w:hAnsi="Verdana"/>
                <w:b/>
                <w:sz w:val="20"/>
              </w:rPr>
              <w:t xml:space="preserve">ole of </w:t>
            </w:r>
            <w:r w:rsidR="00942231" w:rsidRPr="006E3E8B">
              <w:rPr>
                <w:rFonts w:ascii="Verdana" w:hAnsi="Verdana"/>
                <w:b/>
                <w:sz w:val="20"/>
              </w:rPr>
              <w:t>s</w:t>
            </w:r>
            <w:r w:rsidRPr="006E3E8B">
              <w:rPr>
                <w:rFonts w:ascii="Verdana" w:hAnsi="Verdana"/>
                <w:b/>
                <w:sz w:val="20"/>
              </w:rPr>
              <w:t xml:space="preserve">ervices and </w:t>
            </w:r>
            <w:r w:rsidR="00942231" w:rsidRPr="006E3E8B">
              <w:rPr>
                <w:rFonts w:ascii="Verdana" w:hAnsi="Verdana"/>
                <w:b/>
                <w:sz w:val="20"/>
              </w:rPr>
              <w:t>s</w:t>
            </w:r>
            <w:r w:rsidRPr="006E3E8B">
              <w:rPr>
                <w:rFonts w:ascii="Verdana" w:hAnsi="Verdana"/>
                <w:b/>
                <w:sz w:val="20"/>
              </w:rPr>
              <w:t xml:space="preserve">ervices </w:t>
            </w:r>
            <w:r w:rsidR="00942231" w:rsidRPr="006E3E8B">
              <w:rPr>
                <w:rFonts w:ascii="Verdana" w:hAnsi="Verdana"/>
                <w:b/>
                <w:sz w:val="20"/>
              </w:rPr>
              <w:t>t</w:t>
            </w:r>
            <w:r w:rsidRPr="006E3E8B">
              <w:rPr>
                <w:rFonts w:ascii="Verdana" w:hAnsi="Verdana"/>
                <w:b/>
                <w:sz w:val="20"/>
              </w:rPr>
              <w:t>rade</w:t>
            </w:r>
            <w:r w:rsidR="007A7CC0" w:rsidRPr="006E3E8B">
              <w:rPr>
                <w:rFonts w:ascii="Verdana" w:hAnsi="Verdana"/>
                <w:b/>
                <w:sz w:val="20"/>
              </w:rPr>
              <w:t xml:space="preserve"> in fostering economic development</w:t>
            </w:r>
            <w:r w:rsidR="00E23ACA" w:rsidRPr="006E3E8B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5F49166A" w14:textId="6812F8E3" w:rsidR="0025368A" w:rsidRPr="006E3E8B" w:rsidRDefault="0025368A" w:rsidP="00C55F5E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 xml:space="preserve">This session </w:t>
            </w:r>
            <w:r w:rsidR="00CA0DB1">
              <w:rPr>
                <w:rFonts w:ascii="Verdana" w:hAnsi="Verdana"/>
                <w:sz w:val="20"/>
              </w:rPr>
              <w:t>introduces participants to the concept of services and trade in services. It</w:t>
            </w:r>
            <w:r w:rsidR="00CA0DB1" w:rsidRPr="006E3E8B">
              <w:rPr>
                <w:rFonts w:ascii="Verdana" w:hAnsi="Verdana"/>
                <w:sz w:val="20"/>
              </w:rPr>
              <w:t xml:space="preserve"> will explore how services are traded, and the reasons </w:t>
            </w:r>
            <w:r w:rsidR="002B57C2">
              <w:rPr>
                <w:rFonts w:ascii="Verdana" w:hAnsi="Verdana"/>
                <w:sz w:val="20"/>
              </w:rPr>
              <w:t>underlying the</w:t>
            </w:r>
            <w:r w:rsidR="00CA0DB1" w:rsidRPr="006E3E8B">
              <w:rPr>
                <w:rFonts w:ascii="Verdana" w:hAnsi="Verdana"/>
                <w:sz w:val="20"/>
              </w:rPr>
              <w:t xml:space="preserve"> General Agreement on Trade in Services (GATS).</w:t>
            </w:r>
            <w:r w:rsidR="00CA0DB1">
              <w:rPr>
                <w:rFonts w:ascii="Verdana" w:hAnsi="Verdana"/>
                <w:sz w:val="20"/>
              </w:rPr>
              <w:t xml:space="preserve"> The discussion </w:t>
            </w:r>
            <w:r w:rsidRPr="006E3E8B">
              <w:rPr>
                <w:rFonts w:ascii="Verdana" w:hAnsi="Verdana"/>
                <w:sz w:val="20"/>
              </w:rPr>
              <w:t xml:space="preserve">will </w:t>
            </w:r>
            <w:r w:rsidR="00584014" w:rsidRPr="006E3E8B">
              <w:rPr>
                <w:rFonts w:ascii="Verdana" w:hAnsi="Verdana"/>
                <w:sz w:val="20"/>
              </w:rPr>
              <w:t>examine</w:t>
            </w:r>
            <w:r w:rsidR="007A7CC0" w:rsidRPr="006E3E8B">
              <w:rPr>
                <w:rFonts w:ascii="Verdana" w:hAnsi="Verdana"/>
                <w:sz w:val="20"/>
              </w:rPr>
              <w:t xml:space="preserve"> </w:t>
            </w:r>
            <w:r w:rsidR="00584014" w:rsidRPr="006E3E8B">
              <w:rPr>
                <w:rFonts w:ascii="Verdana" w:hAnsi="Verdana"/>
                <w:sz w:val="20"/>
              </w:rPr>
              <w:t xml:space="preserve">the pivotal role of essential infrastructural </w:t>
            </w:r>
            <w:r w:rsidRPr="006E3E8B">
              <w:rPr>
                <w:rFonts w:ascii="Verdana" w:hAnsi="Verdana"/>
                <w:sz w:val="20"/>
              </w:rPr>
              <w:t xml:space="preserve">services </w:t>
            </w:r>
            <w:r w:rsidR="00584014" w:rsidRPr="006E3E8B">
              <w:rPr>
                <w:rFonts w:ascii="Verdana" w:hAnsi="Verdana"/>
                <w:sz w:val="20"/>
              </w:rPr>
              <w:t>(such as financial, telecommunications</w:t>
            </w:r>
            <w:r w:rsidR="00776226" w:rsidRPr="006E3E8B">
              <w:rPr>
                <w:rFonts w:ascii="Verdana" w:hAnsi="Verdana"/>
                <w:sz w:val="20"/>
              </w:rPr>
              <w:t>,</w:t>
            </w:r>
            <w:r w:rsidR="00584014" w:rsidRPr="006E3E8B">
              <w:rPr>
                <w:rFonts w:ascii="Verdana" w:hAnsi="Verdana"/>
                <w:sz w:val="20"/>
              </w:rPr>
              <w:t xml:space="preserve"> digital, transport</w:t>
            </w:r>
            <w:r w:rsidR="00776226" w:rsidRPr="006E3E8B">
              <w:rPr>
                <w:rFonts w:ascii="Verdana" w:hAnsi="Verdana"/>
                <w:sz w:val="20"/>
              </w:rPr>
              <w:t>,</w:t>
            </w:r>
            <w:r w:rsidR="00584014" w:rsidRPr="006E3E8B">
              <w:rPr>
                <w:rFonts w:ascii="Verdana" w:hAnsi="Verdana"/>
                <w:sz w:val="20"/>
              </w:rPr>
              <w:t xml:space="preserve"> and logistics</w:t>
            </w:r>
            <w:r w:rsidR="00776226" w:rsidRPr="006E3E8B">
              <w:rPr>
                <w:rFonts w:ascii="Verdana" w:hAnsi="Verdana"/>
                <w:sz w:val="20"/>
              </w:rPr>
              <w:t xml:space="preserve"> services</w:t>
            </w:r>
            <w:r w:rsidR="00584014" w:rsidRPr="006E3E8B">
              <w:rPr>
                <w:rFonts w:ascii="Verdana" w:hAnsi="Verdana"/>
                <w:sz w:val="20"/>
              </w:rPr>
              <w:t xml:space="preserve">) </w:t>
            </w:r>
            <w:r w:rsidR="00776226" w:rsidRPr="006E3E8B">
              <w:rPr>
                <w:rFonts w:ascii="Verdana" w:hAnsi="Verdana"/>
                <w:sz w:val="20"/>
              </w:rPr>
              <w:t xml:space="preserve">in supporting </w:t>
            </w:r>
            <w:r w:rsidR="007A7CC0" w:rsidRPr="006E3E8B">
              <w:rPr>
                <w:rFonts w:ascii="Verdana" w:hAnsi="Verdana"/>
                <w:sz w:val="20"/>
              </w:rPr>
              <w:t>modern economies</w:t>
            </w:r>
            <w:r w:rsidR="00584014" w:rsidRPr="006E3E8B">
              <w:rPr>
                <w:rFonts w:ascii="Verdana" w:hAnsi="Verdana"/>
                <w:sz w:val="20"/>
              </w:rPr>
              <w:t>, export diversification</w:t>
            </w:r>
            <w:r w:rsidR="00776226" w:rsidRPr="006E3E8B">
              <w:rPr>
                <w:rFonts w:ascii="Verdana" w:hAnsi="Verdana"/>
                <w:sz w:val="20"/>
              </w:rPr>
              <w:t>,</w:t>
            </w:r>
            <w:r w:rsidR="00584014" w:rsidRPr="006E3E8B">
              <w:rPr>
                <w:rFonts w:ascii="Verdana" w:hAnsi="Verdana"/>
                <w:sz w:val="20"/>
              </w:rPr>
              <w:t xml:space="preserve"> and integration into global value chains</w:t>
            </w:r>
            <w:r w:rsidRPr="006E3E8B">
              <w:rPr>
                <w:rFonts w:ascii="Verdana" w:hAnsi="Verdana"/>
                <w:sz w:val="20"/>
              </w:rPr>
              <w:t xml:space="preserve">. </w:t>
            </w:r>
          </w:p>
          <w:p w14:paraId="0ED7D713" w14:textId="77777777" w:rsidR="0025368A" w:rsidRPr="006E3E8B" w:rsidRDefault="0025368A" w:rsidP="00C55F5E">
            <w:pPr>
              <w:rPr>
                <w:rFonts w:ascii="Verdana" w:hAnsi="Verdana"/>
                <w:b/>
                <w:sz w:val="20"/>
              </w:rPr>
            </w:pPr>
          </w:p>
          <w:p w14:paraId="57B0E114" w14:textId="0DF51550" w:rsidR="00665675" w:rsidRPr="006E3E8B" w:rsidRDefault="00665675" w:rsidP="00665675">
            <w:pPr>
              <w:rPr>
                <w:rFonts w:ascii="Verdana" w:hAnsi="Verdana"/>
                <w:bCs/>
                <w:sz w:val="20"/>
              </w:rPr>
            </w:pPr>
            <w:r w:rsidRPr="006E3E8B">
              <w:rPr>
                <w:rFonts w:ascii="Verdana" w:hAnsi="Verdana"/>
                <w:bCs/>
                <w:sz w:val="20"/>
              </w:rPr>
              <w:t xml:space="preserve">This session will also introduce the new </w:t>
            </w:r>
            <w:r w:rsidRPr="006E3E8B">
              <w:rPr>
                <w:rFonts w:ascii="Verdana" w:hAnsi="Verdana"/>
                <w:b/>
                <w:sz w:val="20"/>
              </w:rPr>
              <w:t>WTO-World Bank initiative on</w:t>
            </w:r>
            <w:r w:rsidR="00952597" w:rsidRPr="006E3E8B">
              <w:rPr>
                <w:rFonts w:ascii="Verdana" w:hAnsi="Verdana"/>
                <w:b/>
                <w:sz w:val="20"/>
              </w:rPr>
              <w:t xml:space="preserve"> Trade in</w:t>
            </w:r>
            <w:r w:rsidRPr="006E3E8B">
              <w:rPr>
                <w:rFonts w:ascii="Verdana" w:hAnsi="Verdana"/>
                <w:b/>
                <w:sz w:val="20"/>
              </w:rPr>
              <w:t xml:space="preserve"> Services for Development (T</w:t>
            </w:r>
            <w:r w:rsidR="00952597" w:rsidRPr="006E3E8B">
              <w:rPr>
                <w:rFonts w:ascii="Verdana" w:hAnsi="Verdana"/>
                <w:b/>
                <w:sz w:val="20"/>
              </w:rPr>
              <w:t>S</w:t>
            </w:r>
            <w:r w:rsidRPr="006E3E8B">
              <w:rPr>
                <w:rFonts w:ascii="Verdana" w:hAnsi="Verdana"/>
                <w:b/>
                <w:sz w:val="20"/>
              </w:rPr>
              <w:t>4D)</w:t>
            </w:r>
            <w:r w:rsidRPr="006E3E8B">
              <w:rPr>
                <w:rFonts w:ascii="Verdana" w:hAnsi="Verdana"/>
                <w:bCs/>
                <w:sz w:val="20"/>
              </w:rPr>
              <w:t>,</w:t>
            </w:r>
            <w:r w:rsidRPr="006E3E8B">
              <w:rPr>
                <w:rFonts w:ascii="Verdana" w:hAnsi="Verdana"/>
                <w:b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 xml:space="preserve">including objectives, and </w:t>
            </w:r>
            <w:r w:rsidR="00952597" w:rsidRPr="006E3E8B">
              <w:rPr>
                <w:rFonts w:ascii="Verdana" w:hAnsi="Verdana"/>
                <w:bCs/>
                <w:sz w:val="20"/>
              </w:rPr>
              <w:t xml:space="preserve">initial </w:t>
            </w:r>
            <w:r w:rsidR="00835F43" w:rsidRPr="006E3E8B">
              <w:rPr>
                <w:rFonts w:ascii="Verdana" w:hAnsi="Verdana"/>
                <w:bCs/>
                <w:sz w:val="20"/>
              </w:rPr>
              <w:t xml:space="preserve">work </w:t>
            </w:r>
            <w:r w:rsidR="00952597" w:rsidRPr="006E3E8B">
              <w:rPr>
                <w:rFonts w:ascii="Verdana" w:hAnsi="Verdana"/>
                <w:bCs/>
                <w:sz w:val="20"/>
              </w:rPr>
              <w:t>program of assistance for developing countries</w:t>
            </w:r>
            <w:r w:rsidRPr="006E3E8B">
              <w:rPr>
                <w:rFonts w:ascii="Verdana" w:hAnsi="Verdana"/>
                <w:bCs/>
                <w:sz w:val="20"/>
              </w:rPr>
              <w:t xml:space="preserve">.  </w:t>
            </w:r>
          </w:p>
          <w:p w14:paraId="60D00C04" w14:textId="37B7A59E" w:rsidR="00665675" w:rsidRPr="006E3E8B" w:rsidRDefault="00665675" w:rsidP="00C55F5E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386E76" w:rsidRPr="006E3E8B" w14:paraId="177E3FA3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8E002" w14:textId="6EEDC287" w:rsidR="00386E76" w:rsidRPr="006E3E8B" w:rsidRDefault="00386E76" w:rsidP="00386E76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bCs/>
                <w:sz w:val="20"/>
              </w:rPr>
              <w:t xml:space="preserve">10h30 </w:t>
            </w:r>
            <w:r w:rsidRPr="006E3E8B">
              <w:rPr>
                <w:rFonts w:ascii="Verdana" w:hAnsi="Verdana"/>
                <w:sz w:val="20"/>
              </w:rPr>
              <w:t>–</w:t>
            </w:r>
            <w:r w:rsidRPr="006E3E8B">
              <w:rPr>
                <w:rFonts w:ascii="Verdana" w:hAnsi="Verdana"/>
                <w:bCs/>
                <w:sz w:val="20"/>
              </w:rPr>
              <w:t xml:space="preserve"> 10h45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A164" w14:textId="77777777" w:rsidR="00386E76" w:rsidRPr="006E3E8B" w:rsidRDefault="00386E76" w:rsidP="00386E76">
            <w:pPr>
              <w:rPr>
                <w:rFonts w:ascii="Verdana" w:hAnsi="Verdana"/>
                <w:bCs/>
                <w:i/>
                <w:iCs/>
                <w:sz w:val="20"/>
              </w:rPr>
            </w:pPr>
            <w:r w:rsidRPr="006E3E8B">
              <w:rPr>
                <w:rFonts w:ascii="Verdana" w:hAnsi="Verdana"/>
                <w:bCs/>
                <w:i/>
                <w:iCs/>
                <w:sz w:val="20"/>
              </w:rPr>
              <w:t>Coffee Break</w:t>
            </w:r>
          </w:p>
          <w:p w14:paraId="2106A896" w14:textId="77777777" w:rsidR="00386E76" w:rsidRPr="006E3E8B" w:rsidRDefault="00386E76" w:rsidP="00386E76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386E76" w:rsidRPr="006E3E8B" w14:paraId="06DAE98C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3171" w14:textId="5FBDE75E" w:rsidR="00386E76" w:rsidRPr="006E3E8B" w:rsidRDefault="00386E76" w:rsidP="00386E76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 xml:space="preserve">10h45 – 12h30  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A69D4" w14:textId="214AD2B7" w:rsidR="00386E76" w:rsidRPr="006E3E8B" w:rsidRDefault="00386E76" w:rsidP="00942231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Key features</w:t>
            </w:r>
            <w:r w:rsidR="00894145">
              <w:rPr>
                <w:rFonts w:ascii="Verdana" w:hAnsi="Verdana"/>
                <w:b/>
                <w:bCs/>
                <w:sz w:val="20"/>
              </w:rPr>
              <w:t xml:space="preserve"> and obligations</w:t>
            </w:r>
            <w:r w:rsidRPr="006E3E8B">
              <w:rPr>
                <w:rFonts w:ascii="Verdana" w:hAnsi="Verdana"/>
                <w:b/>
                <w:bCs/>
                <w:sz w:val="20"/>
              </w:rPr>
              <w:t xml:space="preserve"> of the GATS, and </w:t>
            </w:r>
            <w:r w:rsidR="00ED37D2">
              <w:rPr>
                <w:rFonts w:ascii="Verdana" w:hAnsi="Verdana"/>
                <w:b/>
                <w:bCs/>
                <w:sz w:val="20"/>
              </w:rPr>
              <w:t xml:space="preserve">schedules of </w:t>
            </w:r>
            <w:r w:rsidRPr="006E3E8B">
              <w:rPr>
                <w:rFonts w:ascii="Verdana" w:hAnsi="Verdana"/>
                <w:b/>
                <w:bCs/>
                <w:sz w:val="20"/>
              </w:rPr>
              <w:t xml:space="preserve">specific commitments </w:t>
            </w:r>
          </w:p>
        </w:tc>
      </w:tr>
      <w:tr w:rsidR="00386E76" w:rsidRPr="006E3E8B" w14:paraId="17382792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0D4A" w14:textId="605243C5" w:rsidR="00386E76" w:rsidRPr="006E3E8B" w:rsidRDefault="00386E76" w:rsidP="00386E76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 xml:space="preserve">12h30 </w:t>
            </w:r>
            <w:r w:rsidRPr="006E3E8B">
              <w:rPr>
                <w:rFonts w:ascii="Verdana" w:hAnsi="Verdana"/>
                <w:bCs/>
                <w:sz w:val="20"/>
              </w:rPr>
              <w:t>–</w:t>
            </w:r>
            <w:r w:rsidRPr="006E3E8B">
              <w:rPr>
                <w:rFonts w:ascii="Verdana" w:hAnsi="Verdana"/>
                <w:iCs/>
                <w:sz w:val="20"/>
              </w:rPr>
              <w:t xml:space="preserve"> 14h00</w:t>
            </w:r>
          </w:p>
          <w:p w14:paraId="6EB6B0E4" w14:textId="77777777" w:rsidR="00386E76" w:rsidRPr="006E3E8B" w:rsidRDefault="00386E76" w:rsidP="00386E76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0F7D" w14:textId="48094B15" w:rsidR="00386E76" w:rsidRPr="006E3E8B" w:rsidRDefault="00386E76" w:rsidP="00386E76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  <w:r w:rsidRPr="006E3E8B">
              <w:rPr>
                <w:rFonts w:ascii="Verdana" w:hAnsi="Verdana"/>
                <w:i/>
                <w:iCs/>
                <w:sz w:val="20"/>
              </w:rPr>
              <w:t>Lunch Break</w:t>
            </w:r>
          </w:p>
        </w:tc>
      </w:tr>
      <w:tr w:rsidR="00386E76" w:rsidRPr="006E3E8B" w14:paraId="1F4BB298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2DA3" w14:textId="2F4E28BA" w:rsidR="00386E76" w:rsidRPr="006E3E8B" w:rsidRDefault="00386E76" w:rsidP="00386E76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 xml:space="preserve">14h00 </w:t>
            </w:r>
            <w:r w:rsidRPr="006E3E8B">
              <w:rPr>
                <w:rFonts w:ascii="Verdana" w:hAnsi="Verdana"/>
                <w:bCs/>
                <w:sz w:val="20"/>
              </w:rPr>
              <w:t>– 16h00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88FA" w14:textId="312991A0" w:rsidR="0074127F" w:rsidRPr="006E3E8B" w:rsidRDefault="00386E76" w:rsidP="0074127F">
            <w:pPr>
              <w:tabs>
                <w:tab w:val="left" w:pos="2700"/>
                <w:tab w:val="left" w:pos="3600"/>
              </w:tabs>
              <w:spacing w:after="240"/>
              <w:ind w:left="11" w:hanging="11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Key features</w:t>
            </w:r>
            <w:r w:rsidR="00894145">
              <w:rPr>
                <w:rFonts w:ascii="Verdana" w:hAnsi="Verdana"/>
                <w:b/>
                <w:bCs/>
                <w:sz w:val="20"/>
              </w:rPr>
              <w:t xml:space="preserve"> and obligations</w:t>
            </w:r>
            <w:r w:rsidRPr="006E3E8B">
              <w:rPr>
                <w:rFonts w:ascii="Verdana" w:hAnsi="Verdana"/>
                <w:b/>
                <w:bCs/>
                <w:sz w:val="20"/>
              </w:rPr>
              <w:t xml:space="preserve"> of the GATS, and </w:t>
            </w:r>
            <w:r w:rsidR="00ED37D2">
              <w:rPr>
                <w:rFonts w:ascii="Verdana" w:hAnsi="Verdana"/>
                <w:b/>
                <w:bCs/>
                <w:sz w:val="20"/>
              </w:rPr>
              <w:t xml:space="preserve">schedules of </w:t>
            </w:r>
            <w:r w:rsidRPr="006E3E8B">
              <w:rPr>
                <w:rFonts w:ascii="Verdana" w:hAnsi="Verdana"/>
                <w:b/>
                <w:bCs/>
                <w:sz w:val="20"/>
              </w:rPr>
              <w:t xml:space="preserve">specific commitments </w:t>
            </w:r>
            <w:r w:rsidR="00894145">
              <w:rPr>
                <w:rFonts w:ascii="Verdana" w:hAnsi="Verdana"/>
                <w:b/>
                <w:bCs/>
                <w:sz w:val="20"/>
              </w:rPr>
              <w:t>(</w:t>
            </w:r>
            <w:r w:rsidR="000E7A71" w:rsidRPr="006E3E8B">
              <w:rPr>
                <w:rFonts w:ascii="Verdana" w:hAnsi="Verdana"/>
                <w:b/>
                <w:bCs/>
                <w:sz w:val="20"/>
              </w:rPr>
              <w:t>Cont'd</w:t>
            </w:r>
            <w:r w:rsidR="00894145">
              <w:rPr>
                <w:rFonts w:ascii="Verdana" w:hAnsi="Verdana"/>
                <w:b/>
                <w:bCs/>
                <w:sz w:val="20"/>
              </w:rPr>
              <w:t>)</w:t>
            </w:r>
            <w:r w:rsidR="000E7A71" w:rsidRPr="006E3E8B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</w:tc>
      </w:tr>
    </w:tbl>
    <w:p w14:paraId="45449EEB" w14:textId="281340D2" w:rsidR="00D920E6" w:rsidRPr="006E3E8B" w:rsidRDefault="00D920E6" w:rsidP="00436B8F">
      <w:pPr>
        <w:rPr>
          <w:rFonts w:ascii="Verdana" w:hAnsi="Verdana"/>
          <w:b/>
          <w:sz w:val="20"/>
          <w:u w:val="single"/>
        </w:rPr>
      </w:pPr>
    </w:p>
    <w:p w14:paraId="74FEB655" w14:textId="08C8E738" w:rsidR="00926985" w:rsidRPr="00341064" w:rsidRDefault="00926985" w:rsidP="00926985">
      <w:pPr>
        <w:shd w:val="clear" w:color="auto" w:fill="C5E0B3" w:themeFill="accent6" w:themeFillTint="66"/>
        <w:spacing w:after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Wednesday, 18 June 2025</w:t>
      </w:r>
    </w:p>
    <w:p w14:paraId="19BFE740" w14:textId="77777777" w:rsidR="00436B8F" w:rsidRPr="006E3E8B" w:rsidRDefault="00436B8F" w:rsidP="00436B8F">
      <w:pPr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94"/>
        <w:gridCol w:w="6432"/>
      </w:tblGrid>
      <w:tr w:rsidR="00436B8F" w:rsidRPr="006E3E8B" w14:paraId="74E45A33" w14:textId="77777777" w:rsidTr="00C3660E">
        <w:trPr>
          <w:trHeight w:val="489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E7E8C" w14:textId="31934019" w:rsidR="00436B8F" w:rsidRPr="006E3E8B" w:rsidRDefault="000316D8" w:rsidP="0074127F">
            <w:pPr>
              <w:spacing w:after="120"/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bCs/>
                <w:sz w:val="20"/>
              </w:rPr>
              <w:t>9h</w:t>
            </w:r>
            <w:r w:rsidR="00B51EB8" w:rsidRPr="006E3E8B">
              <w:rPr>
                <w:rFonts w:ascii="Verdana" w:hAnsi="Verdana"/>
                <w:bCs/>
                <w:sz w:val="20"/>
              </w:rPr>
              <w:t>0</w:t>
            </w:r>
            <w:r w:rsidRPr="006E3E8B">
              <w:rPr>
                <w:rFonts w:ascii="Verdana" w:hAnsi="Verdana"/>
                <w:bCs/>
                <w:sz w:val="20"/>
              </w:rPr>
              <w:t xml:space="preserve">0 </w:t>
            </w:r>
            <w:r w:rsidR="00436B8F" w:rsidRPr="006E3E8B">
              <w:rPr>
                <w:rFonts w:ascii="Verdana" w:hAnsi="Verdana"/>
                <w:sz w:val="20"/>
              </w:rPr>
              <w:t>–</w:t>
            </w:r>
            <w:r w:rsidR="00436B8F" w:rsidRPr="006E3E8B">
              <w:rPr>
                <w:rFonts w:ascii="Verdana" w:hAnsi="Verdana"/>
                <w:bCs/>
                <w:sz w:val="20"/>
              </w:rPr>
              <w:t xml:space="preserve"> </w:t>
            </w:r>
            <w:r w:rsidR="00BC6287">
              <w:rPr>
                <w:rFonts w:ascii="Verdana" w:hAnsi="Verdana"/>
                <w:bCs/>
                <w:sz w:val="20"/>
              </w:rPr>
              <w:t>9</w:t>
            </w:r>
            <w:r w:rsidRPr="006E3E8B">
              <w:rPr>
                <w:rFonts w:ascii="Verdana" w:hAnsi="Verdana"/>
                <w:bCs/>
                <w:sz w:val="20"/>
              </w:rPr>
              <w:t>h</w:t>
            </w:r>
            <w:r w:rsidR="00BC6287">
              <w:rPr>
                <w:rFonts w:ascii="Verdana" w:hAnsi="Verdana"/>
                <w:bCs/>
                <w:sz w:val="20"/>
              </w:rPr>
              <w:t>45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85EA9" w14:textId="3A6DDF03" w:rsidR="006E3E8B" w:rsidRPr="006E3E8B" w:rsidRDefault="006E3E8B" w:rsidP="00C3660E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Overview of notification requirements under GATS</w:t>
            </w:r>
          </w:p>
        </w:tc>
      </w:tr>
      <w:tr w:rsidR="006E3E8B" w:rsidRPr="006E3E8B" w14:paraId="4FEFC66C" w14:textId="77777777" w:rsidTr="00C3660E">
        <w:trPr>
          <w:trHeight w:val="61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5E11F" w14:textId="6858899B" w:rsidR="006E3E8B" w:rsidRPr="00ED37D2" w:rsidRDefault="00BC6287" w:rsidP="0074127F">
            <w:pPr>
              <w:spacing w:after="120"/>
              <w:rPr>
                <w:rFonts w:ascii="Verdana" w:hAnsi="Verdana"/>
                <w:bCs/>
                <w:sz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</w:rPr>
              <w:t>9</w:t>
            </w:r>
            <w:r w:rsidR="003D34DC">
              <w:rPr>
                <w:rFonts w:ascii="Verdana" w:hAnsi="Verdana"/>
                <w:bCs/>
                <w:sz w:val="20"/>
              </w:rPr>
              <w:t>h</w:t>
            </w:r>
            <w:r>
              <w:rPr>
                <w:rFonts w:ascii="Verdana" w:hAnsi="Verdana"/>
                <w:bCs/>
                <w:sz w:val="20"/>
              </w:rPr>
              <w:t>45</w:t>
            </w:r>
            <w:r w:rsidR="006E3E8B" w:rsidRPr="007F16CC">
              <w:rPr>
                <w:rFonts w:ascii="Verdana" w:hAnsi="Verdana"/>
                <w:bCs/>
                <w:sz w:val="20"/>
              </w:rPr>
              <w:t xml:space="preserve"> – 1</w:t>
            </w:r>
            <w:r w:rsidR="003D34DC">
              <w:rPr>
                <w:rFonts w:ascii="Verdana" w:hAnsi="Verdana"/>
                <w:bCs/>
                <w:sz w:val="20"/>
              </w:rPr>
              <w:t>0</w:t>
            </w:r>
            <w:r w:rsidR="006E3E8B" w:rsidRPr="007F16CC">
              <w:rPr>
                <w:rFonts w:ascii="Verdana" w:hAnsi="Verdana"/>
                <w:bCs/>
                <w:sz w:val="20"/>
              </w:rPr>
              <w:t>h</w:t>
            </w:r>
            <w:r w:rsidR="003D34DC">
              <w:rPr>
                <w:rFonts w:ascii="Verdana" w:hAnsi="Verdana"/>
                <w:bCs/>
                <w:sz w:val="20"/>
              </w:rPr>
              <w:t>45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7103" w14:textId="70CABEC0" w:rsidR="001D1E29" w:rsidRDefault="001D1E29" w:rsidP="003D34D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Introduction to </w:t>
            </w:r>
            <w:r w:rsidR="007D0E78">
              <w:rPr>
                <w:rFonts w:ascii="Verdana" w:hAnsi="Verdana"/>
                <w:b/>
                <w:sz w:val="20"/>
              </w:rPr>
              <w:t>t</w:t>
            </w:r>
            <w:r w:rsidR="00926985" w:rsidRPr="006E3E8B">
              <w:rPr>
                <w:rFonts w:ascii="Verdana" w:hAnsi="Verdana"/>
                <w:b/>
                <w:sz w:val="20"/>
              </w:rPr>
              <w:t xml:space="preserve">he </w:t>
            </w:r>
            <w:r w:rsidR="00926985">
              <w:rPr>
                <w:rFonts w:ascii="Verdana" w:hAnsi="Verdana"/>
                <w:b/>
                <w:sz w:val="20"/>
              </w:rPr>
              <w:t xml:space="preserve">World Bank-WTO Integrated Trade Information Portal (I-TIP Services), the </w:t>
            </w:r>
            <w:r w:rsidR="00926985" w:rsidRPr="006E3E8B">
              <w:rPr>
                <w:rFonts w:ascii="Verdana" w:hAnsi="Verdana"/>
                <w:b/>
                <w:sz w:val="20"/>
              </w:rPr>
              <w:t xml:space="preserve">Services Trade Policy Database (STPD), and </w:t>
            </w:r>
            <w:r w:rsidR="00BC6287">
              <w:rPr>
                <w:rFonts w:ascii="Verdana" w:hAnsi="Verdana"/>
                <w:b/>
                <w:sz w:val="20"/>
              </w:rPr>
              <w:t xml:space="preserve">the </w:t>
            </w:r>
            <w:r w:rsidR="00926985" w:rsidRPr="006E3E8B">
              <w:rPr>
                <w:rFonts w:ascii="Verdana" w:hAnsi="Verdana"/>
                <w:b/>
                <w:sz w:val="20"/>
              </w:rPr>
              <w:t>Services Trade Restrictions Index (STRI)</w:t>
            </w:r>
          </w:p>
          <w:p w14:paraId="73A78253" w14:textId="77777777" w:rsidR="001D1E29" w:rsidRDefault="001D1E29" w:rsidP="003D34DC">
            <w:pPr>
              <w:rPr>
                <w:rFonts w:ascii="Verdana" w:hAnsi="Verdana"/>
                <w:b/>
                <w:sz w:val="20"/>
              </w:rPr>
            </w:pPr>
          </w:p>
          <w:p w14:paraId="712B5095" w14:textId="02E920CC" w:rsidR="003D34DC" w:rsidRPr="007D0E78" w:rsidRDefault="00B92BBE" w:rsidP="003D34D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  <w:r w:rsidR="003D34DC" w:rsidRPr="007D0E78">
              <w:rPr>
                <w:rFonts w:ascii="Verdana" w:hAnsi="Verdana"/>
                <w:b/>
                <w:sz w:val="20"/>
              </w:rPr>
              <w:t>ocus on Jamaica's Schedule of Specific Commitments</w:t>
            </w:r>
          </w:p>
          <w:p w14:paraId="6D79B540" w14:textId="77777777" w:rsidR="003D34DC" w:rsidRDefault="003D34DC" w:rsidP="00926985">
            <w:pPr>
              <w:rPr>
                <w:rFonts w:ascii="Verdana" w:hAnsi="Verdana"/>
                <w:b/>
                <w:sz w:val="20"/>
              </w:rPr>
            </w:pPr>
          </w:p>
          <w:p w14:paraId="754FB355" w14:textId="77777777" w:rsidR="00926985" w:rsidRDefault="00926985" w:rsidP="00926985">
            <w:hyperlink r:id="rId7" w:history="1">
              <w:r w:rsidRPr="00D0094E">
                <w:rPr>
                  <w:rStyle w:val="Hyperlink"/>
                  <w:rFonts w:ascii="Verdana" w:hAnsi="Verdana"/>
                  <w:bCs/>
                  <w:sz w:val="20"/>
                </w:rPr>
                <w:t>https://itip-services-worldbank.wto.org</w:t>
              </w:r>
            </w:hyperlink>
          </w:p>
          <w:p w14:paraId="579A27A5" w14:textId="0AE9AC15" w:rsidR="006E3E8B" w:rsidRPr="006E3E8B" w:rsidRDefault="006E3E8B" w:rsidP="003D34DC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4C34C9" w:rsidRPr="006E3E8B" w14:paraId="3C08C1D2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B089" w14:textId="4B4AE441" w:rsidR="000316D8" w:rsidRPr="006E3E8B" w:rsidRDefault="000316D8" w:rsidP="00950C61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>10h</w:t>
            </w:r>
            <w:r w:rsidR="007F16CC">
              <w:rPr>
                <w:rFonts w:ascii="Verdana" w:hAnsi="Verdana"/>
                <w:sz w:val="20"/>
              </w:rPr>
              <w:t>45</w:t>
            </w:r>
            <w:r w:rsidRPr="006E3E8B">
              <w:rPr>
                <w:rFonts w:ascii="Verdana" w:hAnsi="Verdana"/>
                <w:sz w:val="20"/>
              </w:rPr>
              <w:t xml:space="preserve"> – 1</w:t>
            </w:r>
            <w:r w:rsidR="007F16CC">
              <w:rPr>
                <w:rFonts w:ascii="Verdana" w:hAnsi="Verdana"/>
                <w:sz w:val="20"/>
              </w:rPr>
              <w:t>1</w:t>
            </w:r>
            <w:r w:rsidRPr="006E3E8B">
              <w:rPr>
                <w:rFonts w:ascii="Verdana" w:hAnsi="Verdana"/>
                <w:sz w:val="20"/>
              </w:rPr>
              <w:t>h</w:t>
            </w:r>
            <w:r w:rsidR="007F16CC">
              <w:rPr>
                <w:rFonts w:ascii="Verdana" w:hAnsi="Verdana"/>
                <w:sz w:val="20"/>
              </w:rPr>
              <w:t>00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652A" w14:textId="77777777" w:rsidR="000316D8" w:rsidRPr="006E3E8B" w:rsidRDefault="000316D8" w:rsidP="00950C61">
            <w:pPr>
              <w:rPr>
                <w:rFonts w:ascii="Verdana" w:hAnsi="Verdana"/>
                <w:bCs/>
                <w:i/>
                <w:iCs/>
                <w:sz w:val="20"/>
              </w:rPr>
            </w:pPr>
            <w:r w:rsidRPr="006E3E8B">
              <w:rPr>
                <w:rFonts w:ascii="Verdana" w:hAnsi="Verdana"/>
                <w:bCs/>
                <w:i/>
                <w:iCs/>
                <w:sz w:val="20"/>
              </w:rPr>
              <w:t>Coffee Break</w:t>
            </w:r>
          </w:p>
          <w:p w14:paraId="1473DD98" w14:textId="77777777" w:rsidR="000316D8" w:rsidRPr="006E3E8B" w:rsidRDefault="000316D8" w:rsidP="00950C61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C34C9" w:rsidRPr="006E3E8B" w14:paraId="3B080BA6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F522" w14:textId="760FDCAB" w:rsidR="000316D8" w:rsidRPr="006E3E8B" w:rsidRDefault="000316D8" w:rsidP="00950C61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BC6287">
              <w:rPr>
                <w:rFonts w:ascii="Verdana" w:hAnsi="Verdana"/>
                <w:iCs/>
                <w:sz w:val="20"/>
              </w:rPr>
              <w:t>1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BC6287">
              <w:rPr>
                <w:rFonts w:ascii="Verdana" w:hAnsi="Verdana"/>
                <w:iCs/>
                <w:sz w:val="20"/>
              </w:rPr>
              <w:t>00</w:t>
            </w:r>
            <w:r w:rsidRPr="006E3E8B">
              <w:rPr>
                <w:rFonts w:ascii="Verdana" w:hAnsi="Verdana"/>
                <w:iCs/>
                <w:sz w:val="20"/>
              </w:rPr>
              <w:t xml:space="preserve"> </w:t>
            </w:r>
            <w:r w:rsidRPr="006E3E8B">
              <w:rPr>
                <w:rFonts w:ascii="Verdana" w:hAnsi="Verdana"/>
                <w:bCs/>
                <w:sz w:val="20"/>
              </w:rPr>
              <w:t>– 1</w:t>
            </w:r>
            <w:r w:rsidR="00C34C3D">
              <w:rPr>
                <w:rFonts w:ascii="Verdana" w:hAnsi="Verdana"/>
                <w:bCs/>
                <w:sz w:val="20"/>
              </w:rPr>
              <w:t>1</w:t>
            </w:r>
            <w:r w:rsidRPr="006E3E8B">
              <w:rPr>
                <w:rFonts w:ascii="Verdana" w:hAnsi="Verdana"/>
                <w:bCs/>
                <w:sz w:val="20"/>
              </w:rPr>
              <w:t>h30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899C" w14:textId="24B45486" w:rsidR="000316D8" w:rsidRPr="00C34C3D" w:rsidRDefault="00C34C3D" w:rsidP="00B673C7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C34C3D">
              <w:rPr>
                <w:rFonts w:ascii="Verdana" w:hAnsi="Verdana"/>
                <w:b/>
                <w:bCs/>
                <w:sz w:val="20"/>
              </w:rPr>
              <w:t>I-TIP Services (Cont'd)</w:t>
            </w:r>
          </w:p>
        </w:tc>
      </w:tr>
      <w:tr w:rsidR="00C34C3D" w:rsidRPr="006E3E8B" w14:paraId="022052DF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A96D" w14:textId="09CA91D6" w:rsidR="00C34C3D" w:rsidRPr="006E3E8B" w:rsidRDefault="00C34C3D" w:rsidP="00950C61">
            <w:pPr>
              <w:rPr>
                <w:rFonts w:ascii="Verdana" w:hAnsi="Verdana"/>
                <w:iCs/>
                <w:sz w:val="20"/>
              </w:rPr>
            </w:pPr>
            <w:r>
              <w:rPr>
                <w:rFonts w:ascii="Verdana" w:hAnsi="Verdana"/>
                <w:iCs/>
                <w:sz w:val="20"/>
              </w:rPr>
              <w:t>11h30 – 12h30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47605" w14:textId="1E85ECF1" w:rsidR="00C34C3D" w:rsidRPr="00C34C3D" w:rsidRDefault="00444209" w:rsidP="00B673C7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444209">
              <w:rPr>
                <w:rFonts w:ascii="Verdana" w:hAnsi="Verdana"/>
                <w:b/>
                <w:bCs/>
                <w:sz w:val="20"/>
              </w:rPr>
              <w:t>Presentation by Jamaica – Overview of locally developed services portals</w:t>
            </w:r>
          </w:p>
        </w:tc>
      </w:tr>
      <w:tr w:rsidR="00C45035" w:rsidRPr="006E3E8B" w14:paraId="7C984E43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DF0A" w14:textId="43E62A4E" w:rsidR="00436B8F" w:rsidRPr="006E3E8B" w:rsidRDefault="00436B8F" w:rsidP="00E07494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 xml:space="preserve">12h30 </w:t>
            </w:r>
            <w:r w:rsidRPr="006E3E8B">
              <w:rPr>
                <w:rFonts w:ascii="Verdana" w:hAnsi="Verdana"/>
                <w:bCs/>
                <w:sz w:val="20"/>
              </w:rPr>
              <w:t>–</w:t>
            </w:r>
            <w:r w:rsidRPr="006E3E8B">
              <w:rPr>
                <w:rFonts w:ascii="Verdana" w:hAnsi="Verdana"/>
                <w:iCs/>
                <w:sz w:val="20"/>
              </w:rPr>
              <w:t xml:space="preserve"> 1</w:t>
            </w:r>
            <w:r w:rsidR="00B51EB8" w:rsidRPr="006E3E8B">
              <w:rPr>
                <w:rFonts w:ascii="Verdana" w:hAnsi="Verdana"/>
                <w:iCs/>
                <w:sz w:val="20"/>
              </w:rPr>
              <w:t>4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B51EB8" w:rsidRPr="006E3E8B">
              <w:rPr>
                <w:rFonts w:ascii="Verdana" w:hAnsi="Verdana"/>
                <w:iCs/>
                <w:sz w:val="20"/>
              </w:rPr>
              <w:t>0</w:t>
            </w:r>
            <w:r w:rsidRPr="006E3E8B">
              <w:rPr>
                <w:rFonts w:ascii="Verdana" w:hAnsi="Verdana"/>
                <w:iCs/>
                <w:sz w:val="20"/>
              </w:rPr>
              <w:t>0</w:t>
            </w:r>
          </w:p>
          <w:p w14:paraId="34137174" w14:textId="77777777" w:rsidR="00436B8F" w:rsidRPr="006E3E8B" w:rsidRDefault="00436B8F" w:rsidP="00E07494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43B6A" w14:textId="77777777" w:rsidR="00436B8F" w:rsidRPr="006E3E8B" w:rsidRDefault="00436B8F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  <w:r w:rsidRPr="006E3E8B">
              <w:rPr>
                <w:rFonts w:ascii="Verdana" w:hAnsi="Verdana"/>
                <w:i/>
                <w:iCs/>
                <w:sz w:val="20"/>
              </w:rPr>
              <w:t>Lunch Break</w:t>
            </w:r>
          </w:p>
        </w:tc>
      </w:tr>
      <w:tr w:rsidR="00C45035" w:rsidRPr="006E3E8B" w14:paraId="58D8A904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F4ABC" w14:textId="2ABC9B72" w:rsidR="00436B8F" w:rsidRPr="006E3E8B" w:rsidRDefault="00436B8F" w:rsidP="00E07494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>1</w:t>
            </w:r>
            <w:r w:rsidR="00B51EB8" w:rsidRPr="006E3E8B">
              <w:rPr>
                <w:rFonts w:ascii="Verdana" w:hAnsi="Verdana"/>
                <w:iCs/>
                <w:sz w:val="20"/>
              </w:rPr>
              <w:t>4</w:t>
            </w:r>
            <w:r w:rsidRPr="006E3E8B">
              <w:rPr>
                <w:rFonts w:ascii="Verdana" w:hAnsi="Verdana"/>
                <w:iCs/>
                <w:sz w:val="20"/>
              </w:rPr>
              <w:t>h</w:t>
            </w:r>
            <w:r w:rsidR="00B51EB8" w:rsidRPr="006E3E8B">
              <w:rPr>
                <w:rFonts w:ascii="Verdana" w:hAnsi="Verdana"/>
                <w:iCs/>
                <w:sz w:val="20"/>
              </w:rPr>
              <w:t>0</w:t>
            </w:r>
            <w:r w:rsidRPr="006E3E8B">
              <w:rPr>
                <w:rFonts w:ascii="Verdana" w:hAnsi="Verdana"/>
                <w:iCs/>
                <w:sz w:val="20"/>
              </w:rPr>
              <w:t xml:space="preserve">0 </w:t>
            </w:r>
            <w:r w:rsidRPr="006E3E8B">
              <w:rPr>
                <w:rFonts w:ascii="Verdana" w:hAnsi="Verdana"/>
                <w:sz w:val="20"/>
              </w:rPr>
              <w:t xml:space="preserve">– </w:t>
            </w:r>
            <w:r w:rsidR="000316D8" w:rsidRPr="006E3E8B">
              <w:rPr>
                <w:rFonts w:ascii="Verdana" w:hAnsi="Verdana"/>
                <w:sz w:val="20"/>
              </w:rPr>
              <w:t>1</w:t>
            </w:r>
            <w:r w:rsidR="00B51EB8" w:rsidRPr="006E3E8B">
              <w:rPr>
                <w:rFonts w:ascii="Verdana" w:hAnsi="Verdana"/>
                <w:sz w:val="20"/>
              </w:rPr>
              <w:t>6</w:t>
            </w:r>
            <w:r w:rsidR="000316D8" w:rsidRPr="006E3E8B">
              <w:rPr>
                <w:rFonts w:ascii="Verdana" w:hAnsi="Verdana"/>
                <w:sz w:val="20"/>
              </w:rPr>
              <w:t>h</w:t>
            </w:r>
            <w:r w:rsidR="00C24C97" w:rsidRPr="006E3E8B">
              <w:rPr>
                <w:rFonts w:ascii="Verdana" w:hAnsi="Verdana"/>
                <w:sz w:val="20"/>
              </w:rPr>
              <w:t>00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2CB3" w14:textId="6B94914E" w:rsidR="00436B8F" w:rsidRPr="00D34928" w:rsidRDefault="00D34928" w:rsidP="00D34928">
            <w:pPr>
              <w:tabs>
                <w:tab w:val="left" w:pos="2700"/>
                <w:tab w:val="left" w:pos="3600"/>
              </w:tabs>
              <w:spacing w:after="24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Exercise on the use of I-TIP Services</w:t>
            </w:r>
          </w:p>
        </w:tc>
      </w:tr>
    </w:tbl>
    <w:p w14:paraId="37934982" w14:textId="77777777" w:rsidR="009448E0" w:rsidRPr="006E3E8B" w:rsidRDefault="009448E0" w:rsidP="00212E75">
      <w:pPr>
        <w:rPr>
          <w:rFonts w:ascii="Verdana" w:hAnsi="Verdana"/>
          <w:b/>
          <w:sz w:val="20"/>
          <w:u w:val="single"/>
        </w:rPr>
      </w:pPr>
    </w:p>
    <w:p w14:paraId="7662403D" w14:textId="77777777" w:rsidR="00334117" w:rsidRPr="006E3E8B" w:rsidRDefault="00334117" w:rsidP="00D8146E">
      <w:pPr>
        <w:rPr>
          <w:rFonts w:ascii="Verdana" w:hAnsi="Verdana"/>
          <w:b/>
          <w:sz w:val="20"/>
          <w:u w:val="single"/>
        </w:rPr>
      </w:pPr>
    </w:p>
    <w:p w14:paraId="32E27B91" w14:textId="333A5364" w:rsidR="00AA77F2" w:rsidRPr="00341064" w:rsidRDefault="00926985" w:rsidP="00341064">
      <w:pPr>
        <w:shd w:val="clear" w:color="auto" w:fill="C5E0B3" w:themeFill="accent6" w:themeFillTint="66"/>
        <w:spacing w:after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Thursday, 19 June 2025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00"/>
        <w:gridCol w:w="6426"/>
      </w:tblGrid>
      <w:tr w:rsidR="00AA77F2" w:rsidRPr="006E3E8B" w14:paraId="12D8F652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BA524" w14:textId="77777777" w:rsidR="00AA77F2" w:rsidRPr="006E3E8B" w:rsidRDefault="00AA77F2" w:rsidP="00487913">
            <w:pPr>
              <w:keepNext/>
              <w:keepLines/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>9h00 – 10h30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B2C9F" w14:textId="03A117EE" w:rsidR="00AA77F2" w:rsidRPr="006E3E8B" w:rsidRDefault="00AA77F2" w:rsidP="00487913">
            <w:pPr>
              <w:keepNext/>
              <w:keepLines/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 xml:space="preserve">Market access and regulatory commitments - Two complementary tools to facilitate trade in services  </w:t>
            </w:r>
          </w:p>
          <w:p w14:paraId="181BA1BC" w14:textId="77777777" w:rsidR="00AA77F2" w:rsidRPr="006E3E8B" w:rsidRDefault="00AA77F2" w:rsidP="00487913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700"/>
                <w:tab w:val="left" w:pos="3600"/>
              </w:tabs>
              <w:spacing w:after="60"/>
              <w:ind w:left="714" w:hanging="357"/>
              <w:contextualSpacing w:val="0"/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>The WTO Disciplines on Services Domestic Regulation</w:t>
            </w:r>
          </w:p>
          <w:p w14:paraId="00C7FA46" w14:textId="77777777" w:rsidR="00AA77F2" w:rsidRPr="006E3E8B" w:rsidRDefault="00AA77F2" w:rsidP="00640458">
            <w:pPr>
              <w:keepNext/>
              <w:keepLines/>
              <w:tabs>
                <w:tab w:val="left" w:pos="2700"/>
                <w:tab w:val="left" w:pos="3600"/>
              </w:tabs>
              <w:ind w:left="357"/>
              <w:rPr>
                <w:sz w:val="20"/>
              </w:rPr>
            </w:pPr>
          </w:p>
        </w:tc>
      </w:tr>
      <w:tr w:rsidR="00AA77F2" w:rsidRPr="006E3E8B" w14:paraId="2A562E55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E65AF" w14:textId="77777777" w:rsidR="00AA77F2" w:rsidRPr="006E3E8B" w:rsidRDefault="00AA77F2" w:rsidP="00487913">
            <w:pPr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>10h30 – 10h45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AAE7" w14:textId="77777777" w:rsidR="00AA77F2" w:rsidRPr="006E3E8B" w:rsidRDefault="00AA77F2" w:rsidP="00487913">
            <w:pPr>
              <w:rPr>
                <w:rFonts w:ascii="Verdana" w:hAnsi="Verdana"/>
                <w:bCs/>
                <w:i/>
                <w:iCs/>
                <w:sz w:val="20"/>
              </w:rPr>
            </w:pPr>
            <w:r w:rsidRPr="006E3E8B">
              <w:rPr>
                <w:rFonts w:ascii="Verdana" w:hAnsi="Verdana"/>
                <w:bCs/>
                <w:i/>
                <w:iCs/>
                <w:sz w:val="20"/>
              </w:rPr>
              <w:t>Coffee Break</w:t>
            </w:r>
          </w:p>
          <w:p w14:paraId="5B8C2437" w14:textId="77777777" w:rsidR="00AA77F2" w:rsidRPr="006E3E8B" w:rsidRDefault="00AA77F2" w:rsidP="00487913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AA77F2" w:rsidRPr="006E3E8B" w14:paraId="6EBEEB77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34AA" w14:textId="77777777" w:rsidR="00AA77F2" w:rsidRPr="006E3E8B" w:rsidRDefault="00AA77F2" w:rsidP="00487913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 xml:space="preserve">10h45 </w:t>
            </w:r>
            <w:r w:rsidRPr="006E3E8B">
              <w:rPr>
                <w:rFonts w:ascii="Verdana" w:hAnsi="Verdana"/>
                <w:bCs/>
                <w:sz w:val="20"/>
              </w:rPr>
              <w:t>– 12h30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4A07" w14:textId="77777777" w:rsidR="00AA77F2" w:rsidRPr="006E3E8B" w:rsidRDefault="00AA77F2" w:rsidP="00487913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Market access and regulatory commitments - Two complementary tools to facilitate trade in services</w:t>
            </w:r>
          </w:p>
          <w:p w14:paraId="57CDDA70" w14:textId="71A17A7A" w:rsidR="00AA77F2" w:rsidRPr="006E3E8B" w:rsidRDefault="00640458" w:rsidP="00640458">
            <w:pPr>
              <w:pStyle w:val="ListParagraph"/>
              <w:numPr>
                <w:ilvl w:val="0"/>
                <w:numId w:val="16"/>
              </w:numPr>
              <w:tabs>
                <w:tab w:val="left" w:pos="2700"/>
                <w:tab w:val="left" w:pos="3600"/>
              </w:tabs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>Round table on Jamaica's experience on regulatory frameworks in services sectors</w:t>
            </w:r>
          </w:p>
          <w:p w14:paraId="0F41EA1C" w14:textId="77777777" w:rsidR="00AA77F2" w:rsidRPr="006E3E8B" w:rsidRDefault="00AA77F2" w:rsidP="00487913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</w:rPr>
            </w:pPr>
          </w:p>
        </w:tc>
      </w:tr>
      <w:tr w:rsidR="00AA77F2" w:rsidRPr="006E3E8B" w14:paraId="717488EE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3662" w14:textId="77777777" w:rsidR="00AA77F2" w:rsidRPr="006E3E8B" w:rsidRDefault="00AA77F2" w:rsidP="00487913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 xml:space="preserve">12h30 </w:t>
            </w:r>
            <w:r w:rsidRPr="006E3E8B">
              <w:rPr>
                <w:rFonts w:ascii="Verdana" w:hAnsi="Verdana"/>
                <w:bCs/>
                <w:sz w:val="20"/>
              </w:rPr>
              <w:t>–</w:t>
            </w:r>
            <w:r w:rsidRPr="006E3E8B">
              <w:rPr>
                <w:rFonts w:ascii="Verdana" w:hAnsi="Verdana"/>
                <w:iCs/>
                <w:sz w:val="20"/>
              </w:rPr>
              <w:t xml:space="preserve"> 14h00</w:t>
            </w:r>
          </w:p>
          <w:p w14:paraId="459F14B5" w14:textId="77777777" w:rsidR="00AA77F2" w:rsidRPr="006E3E8B" w:rsidRDefault="00AA77F2" w:rsidP="00487913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4C0F" w14:textId="77777777" w:rsidR="00AA77F2" w:rsidRPr="006E3E8B" w:rsidRDefault="00AA77F2" w:rsidP="00487913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</w:rPr>
            </w:pPr>
            <w:r w:rsidRPr="006E3E8B">
              <w:rPr>
                <w:rFonts w:ascii="Verdana" w:hAnsi="Verdana"/>
                <w:i/>
                <w:iCs/>
                <w:sz w:val="20"/>
              </w:rPr>
              <w:t>Lunch Break</w:t>
            </w:r>
          </w:p>
        </w:tc>
      </w:tr>
      <w:tr w:rsidR="00AA77F2" w:rsidRPr="006E3E8B" w14:paraId="292BE85B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F61F" w14:textId="77777777" w:rsidR="00AA77F2" w:rsidRPr="006E3E8B" w:rsidRDefault="00AA77F2" w:rsidP="00487913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 xml:space="preserve">14h00 </w:t>
            </w:r>
            <w:r w:rsidRPr="006E3E8B">
              <w:rPr>
                <w:rFonts w:ascii="Verdana" w:hAnsi="Verdana"/>
                <w:bCs/>
                <w:sz w:val="20"/>
              </w:rPr>
              <w:t>– 16h00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BDC8" w14:textId="77777777" w:rsidR="00AA77F2" w:rsidRPr="006E3E8B" w:rsidRDefault="00AA77F2" w:rsidP="00487913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Market access and regulatory commitments - Two complementary tools to facilitate trade in services</w:t>
            </w:r>
          </w:p>
          <w:p w14:paraId="0210762E" w14:textId="77777777" w:rsidR="00AA77F2" w:rsidRPr="006E3E8B" w:rsidRDefault="00AA77F2" w:rsidP="00640458">
            <w:pPr>
              <w:pStyle w:val="ListParagraph"/>
              <w:numPr>
                <w:ilvl w:val="0"/>
                <w:numId w:val="16"/>
              </w:numPr>
              <w:tabs>
                <w:tab w:val="left" w:pos="2700"/>
                <w:tab w:val="left" w:pos="3600"/>
              </w:tabs>
              <w:rPr>
                <w:sz w:val="20"/>
                <w:lang w:val="en-US"/>
              </w:rPr>
            </w:pPr>
            <w:r w:rsidRPr="006E3E8B">
              <w:rPr>
                <w:sz w:val="20"/>
                <w:lang w:val="en-US"/>
              </w:rPr>
              <w:t xml:space="preserve">Exercise </w:t>
            </w:r>
          </w:p>
          <w:p w14:paraId="4C9271FE" w14:textId="77777777" w:rsidR="00AA77F2" w:rsidRPr="006E3E8B" w:rsidRDefault="00AA77F2" w:rsidP="00487913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</w:rPr>
            </w:pPr>
            <w:r w:rsidRPr="006E3E8B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640458" w:rsidRPr="006E3E8B" w14:paraId="0BA44CA5" w14:textId="77777777" w:rsidTr="00487913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524B" w14:textId="502699BA" w:rsidR="00640458" w:rsidRPr="006E3E8B" w:rsidRDefault="00640458" w:rsidP="00487913">
            <w:pPr>
              <w:rPr>
                <w:rFonts w:ascii="Verdana" w:hAnsi="Verdana"/>
                <w:iCs/>
                <w:sz w:val="20"/>
              </w:rPr>
            </w:pPr>
            <w:r w:rsidRPr="006E3E8B">
              <w:rPr>
                <w:rFonts w:ascii="Verdana" w:hAnsi="Verdana"/>
                <w:iCs/>
                <w:sz w:val="20"/>
              </w:rPr>
              <w:t>16h00-16h</w:t>
            </w:r>
            <w:r w:rsidR="003B28EF">
              <w:rPr>
                <w:rFonts w:ascii="Verdana" w:hAnsi="Verdana"/>
                <w:iCs/>
                <w:sz w:val="20"/>
              </w:rPr>
              <w:t>3</w:t>
            </w:r>
            <w:r w:rsidRPr="006E3E8B">
              <w:rPr>
                <w:rFonts w:ascii="Verdana" w:hAnsi="Verdana"/>
                <w:iCs/>
                <w:sz w:val="20"/>
              </w:rPr>
              <w:t>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D6AC" w14:textId="1D86A9E6" w:rsidR="00640458" w:rsidRPr="006E3E8B" w:rsidRDefault="00640458" w:rsidP="00487913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6E3E8B">
              <w:rPr>
                <w:rFonts w:ascii="Verdana" w:hAnsi="Verdana"/>
                <w:b/>
                <w:bCs/>
                <w:sz w:val="20"/>
              </w:rPr>
              <w:t>Closing Session</w:t>
            </w:r>
          </w:p>
        </w:tc>
      </w:tr>
    </w:tbl>
    <w:p w14:paraId="041689FA" w14:textId="77777777" w:rsidR="00AA77F2" w:rsidRDefault="00AA77F2" w:rsidP="000E6965"/>
    <w:p w14:paraId="4900C392" w14:textId="77777777" w:rsidR="004E0768" w:rsidRPr="006E3E8B" w:rsidRDefault="004E0768" w:rsidP="000E6965"/>
    <w:p w14:paraId="1B76A94E" w14:textId="0959CD36" w:rsidR="004004F1" w:rsidRPr="002D4FA5" w:rsidRDefault="006C5CF0" w:rsidP="00BC5E02">
      <w:pPr>
        <w:jc w:val="center"/>
        <w:rPr>
          <w:rFonts w:ascii="Verdana" w:hAnsi="Verdana"/>
          <w:b/>
          <w:sz w:val="20"/>
          <w:lang w:val="en-GB"/>
        </w:rPr>
      </w:pPr>
      <w:r w:rsidRPr="006E3E8B">
        <w:rPr>
          <w:rFonts w:ascii="Verdana" w:hAnsi="Verdana"/>
          <w:sz w:val="20"/>
        </w:rPr>
        <w:t>______</w:t>
      </w:r>
      <w:r w:rsidR="003A4095" w:rsidRPr="006E3E8B">
        <w:rPr>
          <w:rFonts w:ascii="Verdana" w:hAnsi="Verdana"/>
          <w:sz w:val="20"/>
        </w:rPr>
        <w:t>_________</w:t>
      </w:r>
    </w:p>
    <w:sectPr w:rsidR="004004F1" w:rsidRPr="002D4FA5" w:rsidSect="005B63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6748" w14:textId="77777777" w:rsidR="001F7983" w:rsidRPr="006E3E8B" w:rsidRDefault="001F7983">
      <w:r w:rsidRPr="006E3E8B">
        <w:separator/>
      </w:r>
    </w:p>
  </w:endnote>
  <w:endnote w:type="continuationSeparator" w:id="0">
    <w:p w14:paraId="22C931E9" w14:textId="77777777" w:rsidR="001F7983" w:rsidRPr="006E3E8B" w:rsidRDefault="001F7983">
      <w:r w:rsidRPr="006E3E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6"/>
      </w:rPr>
      <w:id w:val="-405229330"/>
      <w:docPartObj>
        <w:docPartGallery w:val="Page Numbers (Bottom of Page)"/>
        <w:docPartUnique/>
      </w:docPartObj>
    </w:sdtPr>
    <w:sdtEndPr>
      <w:rPr>
        <w:sz w:val="14"/>
        <w:szCs w:val="12"/>
      </w:rPr>
    </w:sdtEndPr>
    <w:sdtContent>
      <w:p w14:paraId="3A6B7789" w14:textId="1C048E23" w:rsidR="008A04AF" w:rsidRPr="006E3E8B" w:rsidRDefault="008A04AF">
        <w:pPr>
          <w:pStyle w:val="Footer"/>
          <w:jc w:val="center"/>
          <w:rPr>
            <w:rFonts w:ascii="Verdana" w:hAnsi="Verdana"/>
            <w:sz w:val="18"/>
            <w:szCs w:val="16"/>
          </w:rPr>
        </w:pPr>
        <w:r w:rsidRPr="006E3E8B">
          <w:rPr>
            <w:rFonts w:ascii="Verdana" w:hAnsi="Verdana"/>
            <w:sz w:val="18"/>
            <w:szCs w:val="16"/>
          </w:rPr>
          <w:fldChar w:fldCharType="begin"/>
        </w:r>
        <w:r w:rsidRPr="006E3E8B">
          <w:rPr>
            <w:rFonts w:ascii="Verdana" w:hAnsi="Verdana"/>
            <w:sz w:val="18"/>
            <w:szCs w:val="16"/>
          </w:rPr>
          <w:instrText xml:space="preserve"> PAGE   \* MERGEFORMAT </w:instrText>
        </w:r>
        <w:r w:rsidRPr="006E3E8B">
          <w:rPr>
            <w:rFonts w:ascii="Verdana" w:hAnsi="Verdana"/>
            <w:sz w:val="18"/>
            <w:szCs w:val="16"/>
          </w:rPr>
          <w:fldChar w:fldCharType="separate"/>
        </w:r>
        <w:r w:rsidRPr="006E3E8B">
          <w:rPr>
            <w:rFonts w:ascii="Verdana" w:hAnsi="Verdana"/>
            <w:sz w:val="18"/>
            <w:szCs w:val="16"/>
          </w:rPr>
          <w:t>2</w:t>
        </w:r>
        <w:r w:rsidRPr="006E3E8B">
          <w:rPr>
            <w:rFonts w:ascii="Verdana" w:hAnsi="Verdana"/>
            <w:sz w:val="18"/>
            <w:szCs w:val="16"/>
          </w:rPr>
          <w:fldChar w:fldCharType="end"/>
        </w:r>
      </w:p>
    </w:sdtContent>
  </w:sdt>
  <w:p w14:paraId="09143BB0" w14:textId="77777777" w:rsidR="00E93C74" w:rsidRPr="006E3E8B" w:rsidRDefault="00E93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655A" w14:textId="77777777" w:rsidR="00DB081B" w:rsidRPr="006E3E8B" w:rsidRDefault="00DB081B" w:rsidP="003D45FE">
    <w:pPr>
      <w:pStyle w:val="Footer"/>
      <w:jc w:val="right"/>
    </w:pPr>
    <w:r w:rsidRPr="006E3E8B">
      <w:t>. 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85A6" w14:textId="77777777" w:rsidR="001F7983" w:rsidRPr="006E3E8B" w:rsidRDefault="001F7983">
      <w:r w:rsidRPr="006E3E8B">
        <w:separator/>
      </w:r>
    </w:p>
  </w:footnote>
  <w:footnote w:type="continuationSeparator" w:id="0">
    <w:p w14:paraId="1A1C4677" w14:textId="77777777" w:rsidR="001F7983" w:rsidRPr="006E3E8B" w:rsidRDefault="001F7983">
      <w:r w:rsidRPr="006E3E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2FED1" w14:textId="0B1229EA" w:rsidR="00F75732" w:rsidRPr="006E3E8B" w:rsidRDefault="00F75732">
    <w:pPr>
      <w:pStyle w:val="Header"/>
      <w:rPr>
        <w:rFonts w:ascii="Verdana" w:hAnsi="Verdana"/>
        <w:sz w:val="18"/>
        <w:szCs w:val="16"/>
      </w:rPr>
    </w:pPr>
    <w:r w:rsidRPr="006E3E8B">
      <w:rPr>
        <w:rFonts w:ascii="Verdana" w:hAnsi="Verdana"/>
        <w:sz w:val="18"/>
        <w:szCs w:val="16"/>
      </w:rPr>
      <w:t xml:space="preserve">Trade in Services and Investment Division </w:t>
    </w:r>
  </w:p>
  <w:p w14:paraId="40E844F0" w14:textId="45DE0584" w:rsidR="00F75732" w:rsidRPr="006E3E8B" w:rsidRDefault="00926985">
    <w:pPr>
      <w:pStyle w:val="Header"/>
      <w:rPr>
        <w:rFonts w:ascii="Verdana" w:hAnsi="Verdana"/>
        <w:sz w:val="18"/>
        <w:szCs w:val="16"/>
      </w:rPr>
    </w:pPr>
    <w:r>
      <w:rPr>
        <w:rFonts w:ascii="Verdana" w:hAnsi="Verdana"/>
        <w:sz w:val="18"/>
        <w:szCs w:val="16"/>
      </w:rPr>
      <w:t>31</w:t>
    </w:r>
    <w:r w:rsidR="00F75732" w:rsidRPr="006E3E8B">
      <w:rPr>
        <w:rFonts w:ascii="Verdana" w:hAnsi="Verdana"/>
        <w:sz w:val="18"/>
        <w:szCs w:val="16"/>
      </w:rPr>
      <w:t xml:space="preserve"> </w:t>
    </w:r>
    <w:r>
      <w:rPr>
        <w:rFonts w:ascii="Verdana" w:hAnsi="Verdana"/>
        <w:sz w:val="18"/>
        <w:szCs w:val="16"/>
      </w:rPr>
      <w:t>March</w:t>
    </w:r>
    <w:r w:rsidR="00F75732" w:rsidRPr="006E3E8B">
      <w:rPr>
        <w:rFonts w:ascii="Verdana" w:hAnsi="Verdana"/>
        <w:sz w:val="18"/>
        <w:szCs w:val="16"/>
      </w:rPr>
      <w:t xml:space="preserve"> 2025</w:t>
    </w:r>
  </w:p>
  <w:p w14:paraId="47AFDBE8" w14:textId="77777777" w:rsidR="00DB081B" w:rsidRPr="006E3E8B" w:rsidRDefault="00DB08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6E75" w14:textId="7DD9F7D1" w:rsidR="00DB081B" w:rsidRPr="006E3E8B" w:rsidRDefault="00BC5E02">
    <w:pPr>
      <w:pStyle w:val="Header"/>
    </w:pPr>
    <w:r w:rsidRPr="006E3E8B">
      <w:rPr>
        <w:noProof/>
      </w:rPr>
      <w:drawing>
        <wp:inline distT="0" distB="0" distL="0" distR="0" wp14:anchorId="7E032EB9" wp14:editId="765D8C3D">
          <wp:extent cx="3584575" cy="789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B7D78E4"/>
    <w:multiLevelType w:val="hybridMultilevel"/>
    <w:tmpl w:val="2226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72F"/>
    <w:multiLevelType w:val="hybridMultilevel"/>
    <w:tmpl w:val="3890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212E"/>
    <w:multiLevelType w:val="hybridMultilevel"/>
    <w:tmpl w:val="600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BE4"/>
    <w:multiLevelType w:val="hybridMultilevel"/>
    <w:tmpl w:val="1C94A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1093"/>
    <w:multiLevelType w:val="hybridMultilevel"/>
    <w:tmpl w:val="2438C4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1D852BC4"/>
    <w:multiLevelType w:val="hybridMultilevel"/>
    <w:tmpl w:val="684A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299444B3"/>
    <w:multiLevelType w:val="hybridMultilevel"/>
    <w:tmpl w:val="B9D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945D0"/>
    <w:multiLevelType w:val="hybridMultilevel"/>
    <w:tmpl w:val="2504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7ECB"/>
    <w:multiLevelType w:val="hybridMultilevel"/>
    <w:tmpl w:val="2E24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3CF24CDC"/>
    <w:multiLevelType w:val="hybridMultilevel"/>
    <w:tmpl w:val="95B0F24C"/>
    <w:lvl w:ilvl="0" w:tplc="080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EB151DD"/>
    <w:multiLevelType w:val="hybridMultilevel"/>
    <w:tmpl w:val="C47E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90EE9"/>
    <w:multiLevelType w:val="hybridMultilevel"/>
    <w:tmpl w:val="40CAED50"/>
    <w:lvl w:ilvl="0" w:tplc="D1FE7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AA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4F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46D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F28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EE5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BC0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AE8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A2A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1B000C6"/>
    <w:multiLevelType w:val="hybridMultilevel"/>
    <w:tmpl w:val="80E0BA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06256"/>
    <w:multiLevelType w:val="hybridMultilevel"/>
    <w:tmpl w:val="B31010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5C12591D"/>
    <w:multiLevelType w:val="hybridMultilevel"/>
    <w:tmpl w:val="F72E420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1E7244F"/>
    <w:multiLevelType w:val="hybridMultilevel"/>
    <w:tmpl w:val="54FE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53025"/>
    <w:multiLevelType w:val="hybridMultilevel"/>
    <w:tmpl w:val="8A58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D5864"/>
    <w:multiLevelType w:val="hybridMultilevel"/>
    <w:tmpl w:val="1DBC12B0"/>
    <w:lvl w:ilvl="0" w:tplc="B2CE1DB6"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C694D94"/>
    <w:multiLevelType w:val="hybridMultilevel"/>
    <w:tmpl w:val="F4A4FD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56607"/>
    <w:multiLevelType w:val="hybridMultilevel"/>
    <w:tmpl w:val="F086CEDC"/>
    <w:lvl w:ilvl="0" w:tplc="4BEE7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174233">
    <w:abstractNumId w:val="14"/>
  </w:num>
  <w:num w:numId="2" w16cid:durableId="1282766716">
    <w:abstractNumId w:val="10"/>
  </w:num>
  <w:num w:numId="3" w16cid:durableId="520165042">
    <w:abstractNumId w:val="2"/>
  </w:num>
  <w:num w:numId="4" w16cid:durableId="1420709948">
    <w:abstractNumId w:val="1"/>
  </w:num>
  <w:num w:numId="5" w16cid:durableId="1393968066">
    <w:abstractNumId w:val="0"/>
  </w:num>
  <w:num w:numId="6" w16cid:durableId="644702763">
    <w:abstractNumId w:val="8"/>
  </w:num>
  <w:num w:numId="7" w16cid:durableId="1583447875">
    <w:abstractNumId w:val="19"/>
  </w:num>
  <w:num w:numId="8" w16cid:durableId="1977224708">
    <w:abstractNumId w:val="18"/>
  </w:num>
  <w:num w:numId="9" w16cid:durableId="1520850137">
    <w:abstractNumId w:val="16"/>
  </w:num>
  <w:num w:numId="10" w16cid:durableId="2062820252">
    <w:abstractNumId w:val="15"/>
  </w:num>
  <w:num w:numId="11" w16cid:durableId="1936357533">
    <w:abstractNumId w:val="21"/>
  </w:num>
  <w:num w:numId="12" w16cid:durableId="1637679521">
    <w:abstractNumId w:val="9"/>
  </w:num>
  <w:num w:numId="13" w16cid:durableId="766540384">
    <w:abstractNumId w:val="6"/>
  </w:num>
  <w:num w:numId="14" w16cid:durableId="842941249">
    <w:abstractNumId w:val="20"/>
  </w:num>
  <w:num w:numId="15" w16cid:durableId="479274987">
    <w:abstractNumId w:val="3"/>
  </w:num>
  <w:num w:numId="16" w16cid:durableId="1906605919">
    <w:abstractNumId w:val="12"/>
  </w:num>
  <w:num w:numId="17" w16cid:durableId="1961377286">
    <w:abstractNumId w:val="17"/>
  </w:num>
  <w:num w:numId="18" w16cid:durableId="1917393081">
    <w:abstractNumId w:val="13"/>
  </w:num>
  <w:num w:numId="19" w16cid:durableId="394624889">
    <w:abstractNumId w:val="5"/>
  </w:num>
  <w:num w:numId="20" w16cid:durableId="1885630891">
    <w:abstractNumId w:val="4"/>
  </w:num>
  <w:num w:numId="21" w16cid:durableId="32703700">
    <w:abstractNumId w:val="22"/>
  </w:num>
  <w:num w:numId="22" w16cid:durableId="1929458466">
    <w:abstractNumId w:val="25"/>
  </w:num>
  <w:num w:numId="23" w16cid:durableId="883326666">
    <w:abstractNumId w:val="23"/>
  </w:num>
  <w:num w:numId="24" w16cid:durableId="1339891631">
    <w:abstractNumId w:val="11"/>
  </w:num>
  <w:num w:numId="25" w16cid:durableId="168300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218270">
    <w:abstractNumId w:val="24"/>
  </w:num>
  <w:num w:numId="27" w16cid:durableId="95822000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3921"/>
    <w:rsid w:val="00010432"/>
    <w:rsid w:val="000159F2"/>
    <w:rsid w:val="000316D8"/>
    <w:rsid w:val="00035C31"/>
    <w:rsid w:val="00041CBF"/>
    <w:rsid w:val="00051B49"/>
    <w:rsid w:val="000639B6"/>
    <w:rsid w:val="00064758"/>
    <w:rsid w:val="00070B79"/>
    <w:rsid w:val="0007371E"/>
    <w:rsid w:val="00081E1F"/>
    <w:rsid w:val="00092338"/>
    <w:rsid w:val="00093842"/>
    <w:rsid w:val="000A2C7D"/>
    <w:rsid w:val="000B2CE3"/>
    <w:rsid w:val="000B3766"/>
    <w:rsid w:val="000C574B"/>
    <w:rsid w:val="000C6F83"/>
    <w:rsid w:val="000D2526"/>
    <w:rsid w:val="000D7B15"/>
    <w:rsid w:val="000E2B4D"/>
    <w:rsid w:val="000E6965"/>
    <w:rsid w:val="000E7A71"/>
    <w:rsid w:val="000F2926"/>
    <w:rsid w:val="001006E6"/>
    <w:rsid w:val="00101508"/>
    <w:rsid w:val="00106F8E"/>
    <w:rsid w:val="00114D2D"/>
    <w:rsid w:val="00114E0E"/>
    <w:rsid w:val="00115832"/>
    <w:rsid w:val="00117C4D"/>
    <w:rsid w:val="001230BC"/>
    <w:rsid w:val="00131657"/>
    <w:rsid w:val="00132B2F"/>
    <w:rsid w:val="001411B1"/>
    <w:rsid w:val="00152302"/>
    <w:rsid w:val="001542C1"/>
    <w:rsid w:val="0015453A"/>
    <w:rsid w:val="00161F2D"/>
    <w:rsid w:val="0016262D"/>
    <w:rsid w:val="001632D5"/>
    <w:rsid w:val="0017105E"/>
    <w:rsid w:val="0018263C"/>
    <w:rsid w:val="00183781"/>
    <w:rsid w:val="001A6AFB"/>
    <w:rsid w:val="001B268E"/>
    <w:rsid w:val="001D1E29"/>
    <w:rsid w:val="001E406C"/>
    <w:rsid w:val="001E5FA3"/>
    <w:rsid w:val="001F4813"/>
    <w:rsid w:val="001F7983"/>
    <w:rsid w:val="00202522"/>
    <w:rsid w:val="00203BE4"/>
    <w:rsid w:val="002044F7"/>
    <w:rsid w:val="00205343"/>
    <w:rsid w:val="002069AD"/>
    <w:rsid w:val="00212E75"/>
    <w:rsid w:val="00230D77"/>
    <w:rsid w:val="00236C94"/>
    <w:rsid w:val="00237FDF"/>
    <w:rsid w:val="002429F8"/>
    <w:rsid w:val="00252222"/>
    <w:rsid w:val="0025368A"/>
    <w:rsid w:val="002630AD"/>
    <w:rsid w:val="00276D8C"/>
    <w:rsid w:val="00281D56"/>
    <w:rsid w:val="0028617A"/>
    <w:rsid w:val="00294FD2"/>
    <w:rsid w:val="00295F44"/>
    <w:rsid w:val="002A2866"/>
    <w:rsid w:val="002B2FB3"/>
    <w:rsid w:val="002B57C2"/>
    <w:rsid w:val="002C2590"/>
    <w:rsid w:val="002C2D5C"/>
    <w:rsid w:val="002D379F"/>
    <w:rsid w:val="002D4FA5"/>
    <w:rsid w:val="002D5CE9"/>
    <w:rsid w:val="003017CF"/>
    <w:rsid w:val="00303B71"/>
    <w:rsid w:val="003053CA"/>
    <w:rsid w:val="00307713"/>
    <w:rsid w:val="00310282"/>
    <w:rsid w:val="003158AB"/>
    <w:rsid w:val="00321F41"/>
    <w:rsid w:val="00323FA7"/>
    <w:rsid w:val="00333C85"/>
    <w:rsid w:val="00334117"/>
    <w:rsid w:val="003361FA"/>
    <w:rsid w:val="00340662"/>
    <w:rsid w:val="00341064"/>
    <w:rsid w:val="00347C8F"/>
    <w:rsid w:val="00353690"/>
    <w:rsid w:val="00355785"/>
    <w:rsid w:val="00360BEB"/>
    <w:rsid w:val="00367068"/>
    <w:rsid w:val="00371CE9"/>
    <w:rsid w:val="00382B0C"/>
    <w:rsid w:val="00386758"/>
    <w:rsid w:val="00386943"/>
    <w:rsid w:val="00386E76"/>
    <w:rsid w:val="0039024C"/>
    <w:rsid w:val="00391FAE"/>
    <w:rsid w:val="003A1E71"/>
    <w:rsid w:val="003A39FE"/>
    <w:rsid w:val="003A4095"/>
    <w:rsid w:val="003A5136"/>
    <w:rsid w:val="003A5D31"/>
    <w:rsid w:val="003B28EF"/>
    <w:rsid w:val="003B30C5"/>
    <w:rsid w:val="003B6DE1"/>
    <w:rsid w:val="003C6C93"/>
    <w:rsid w:val="003D0C0D"/>
    <w:rsid w:val="003D34DC"/>
    <w:rsid w:val="003D3AE4"/>
    <w:rsid w:val="003D45FE"/>
    <w:rsid w:val="003E1CCA"/>
    <w:rsid w:val="003F4696"/>
    <w:rsid w:val="003F5B02"/>
    <w:rsid w:val="004004F1"/>
    <w:rsid w:val="00403714"/>
    <w:rsid w:val="0041547A"/>
    <w:rsid w:val="00417388"/>
    <w:rsid w:val="0043025E"/>
    <w:rsid w:val="00435F3F"/>
    <w:rsid w:val="00436B8F"/>
    <w:rsid w:val="00441BF5"/>
    <w:rsid w:val="00444209"/>
    <w:rsid w:val="00444A88"/>
    <w:rsid w:val="004500BD"/>
    <w:rsid w:val="00455388"/>
    <w:rsid w:val="00461BFC"/>
    <w:rsid w:val="00465493"/>
    <w:rsid w:val="00470BBE"/>
    <w:rsid w:val="0047647A"/>
    <w:rsid w:val="00476EB7"/>
    <w:rsid w:val="004811CE"/>
    <w:rsid w:val="00481B87"/>
    <w:rsid w:val="00487933"/>
    <w:rsid w:val="004930D4"/>
    <w:rsid w:val="004961B4"/>
    <w:rsid w:val="004A4C2A"/>
    <w:rsid w:val="004B2EFF"/>
    <w:rsid w:val="004C10E3"/>
    <w:rsid w:val="004C1D64"/>
    <w:rsid w:val="004C2A4F"/>
    <w:rsid w:val="004C34C9"/>
    <w:rsid w:val="004C76B3"/>
    <w:rsid w:val="004D3951"/>
    <w:rsid w:val="004E0768"/>
    <w:rsid w:val="004E09B4"/>
    <w:rsid w:val="004E586B"/>
    <w:rsid w:val="004E602E"/>
    <w:rsid w:val="004F3A89"/>
    <w:rsid w:val="00505DC5"/>
    <w:rsid w:val="005111DB"/>
    <w:rsid w:val="005140ED"/>
    <w:rsid w:val="00524393"/>
    <w:rsid w:val="00526F3F"/>
    <w:rsid w:val="00535852"/>
    <w:rsid w:val="00535D4A"/>
    <w:rsid w:val="005437E8"/>
    <w:rsid w:val="0054405E"/>
    <w:rsid w:val="005533BF"/>
    <w:rsid w:val="005568EF"/>
    <w:rsid w:val="00573F36"/>
    <w:rsid w:val="00582FAD"/>
    <w:rsid w:val="00584014"/>
    <w:rsid w:val="0058635C"/>
    <w:rsid w:val="005A6D6F"/>
    <w:rsid w:val="005B2105"/>
    <w:rsid w:val="005B63C6"/>
    <w:rsid w:val="005C0274"/>
    <w:rsid w:val="005C1816"/>
    <w:rsid w:val="005C6F18"/>
    <w:rsid w:val="005D0E35"/>
    <w:rsid w:val="005D2F55"/>
    <w:rsid w:val="005E3E79"/>
    <w:rsid w:val="005E50A5"/>
    <w:rsid w:val="005F1057"/>
    <w:rsid w:val="005F36A4"/>
    <w:rsid w:val="005F3D66"/>
    <w:rsid w:val="00601D2D"/>
    <w:rsid w:val="00604D43"/>
    <w:rsid w:val="006067C2"/>
    <w:rsid w:val="006156AC"/>
    <w:rsid w:val="00625B6F"/>
    <w:rsid w:val="0063662B"/>
    <w:rsid w:val="00640458"/>
    <w:rsid w:val="00640E10"/>
    <w:rsid w:val="006429C1"/>
    <w:rsid w:val="00647670"/>
    <w:rsid w:val="00654B66"/>
    <w:rsid w:val="00654CF8"/>
    <w:rsid w:val="0066218F"/>
    <w:rsid w:val="00665675"/>
    <w:rsid w:val="006711F2"/>
    <w:rsid w:val="00671F88"/>
    <w:rsid w:val="00673242"/>
    <w:rsid w:val="0068271A"/>
    <w:rsid w:val="006924EF"/>
    <w:rsid w:val="006949E0"/>
    <w:rsid w:val="006A0751"/>
    <w:rsid w:val="006A4BCB"/>
    <w:rsid w:val="006B07C2"/>
    <w:rsid w:val="006B1FED"/>
    <w:rsid w:val="006B6A5E"/>
    <w:rsid w:val="006C02EF"/>
    <w:rsid w:val="006C5CF0"/>
    <w:rsid w:val="006D1CB9"/>
    <w:rsid w:val="006D3668"/>
    <w:rsid w:val="006D4FC7"/>
    <w:rsid w:val="006E3073"/>
    <w:rsid w:val="006E3E8B"/>
    <w:rsid w:val="006F41C3"/>
    <w:rsid w:val="006F585B"/>
    <w:rsid w:val="006F5DCF"/>
    <w:rsid w:val="00704CFC"/>
    <w:rsid w:val="00715D96"/>
    <w:rsid w:val="00716F1F"/>
    <w:rsid w:val="007225BB"/>
    <w:rsid w:val="007259BD"/>
    <w:rsid w:val="007263AA"/>
    <w:rsid w:val="00733A6A"/>
    <w:rsid w:val="0074127F"/>
    <w:rsid w:val="00741B8A"/>
    <w:rsid w:val="0074353F"/>
    <w:rsid w:val="00750AF1"/>
    <w:rsid w:val="00755BA6"/>
    <w:rsid w:val="00767FC6"/>
    <w:rsid w:val="00776226"/>
    <w:rsid w:val="007771E2"/>
    <w:rsid w:val="007825B5"/>
    <w:rsid w:val="0079490F"/>
    <w:rsid w:val="00794F90"/>
    <w:rsid w:val="007A7CC0"/>
    <w:rsid w:val="007B181F"/>
    <w:rsid w:val="007B19C9"/>
    <w:rsid w:val="007B50C4"/>
    <w:rsid w:val="007C18AD"/>
    <w:rsid w:val="007C1B1E"/>
    <w:rsid w:val="007C560A"/>
    <w:rsid w:val="007D0E78"/>
    <w:rsid w:val="007D2578"/>
    <w:rsid w:val="007D708C"/>
    <w:rsid w:val="007E3BB3"/>
    <w:rsid w:val="007E7153"/>
    <w:rsid w:val="007E74B3"/>
    <w:rsid w:val="007F16CC"/>
    <w:rsid w:val="00806B49"/>
    <w:rsid w:val="008208BF"/>
    <w:rsid w:val="00824244"/>
    <w:rsid w:val="00834E37"/>
    <w:rsid w:val="00835F43"/>
    <w:rsid w:val="008551DE"/>
    <w:rsid w:val="00863202"/>
    <w:rsid w:val="008665C4"/>
    <w:rsid w:val="008817B4"/>
    <w:rsid w:val="00881E86"/>
    <w:rsid w:val="00891A73"/>
    <w:rsid w:val="00892E0A"/>
    <w:rsid w:val="00894145"/>
    <w:rsid w:val="00895A50"/>
    <w:rsid w:val="0089731B"/>
    <w:rsid w:val="00897447"/>
    <w:rsid w:val="008A0067"/>
    <w:rsid w:val="008A04AF"/>
    <w:rsid w:val="008B1A7D"/>
    <w:rsid w:val="008C3AEB"/>
    <w:rsid w:val="008D0C07"/>
    <w:rsid w:val="008F0619"/>
    <w:rsid w:val="008F2190"/>
    <w:rsid w:val="00910490"/>
    <w:rsid w:val="009147D8"/>
    <w:rsid w:val="00921D2B"/>
    <w:rsid w:val="009229C8"/>
    <w:rsid w:val="00926985"/>
    <w:rsid w:val="00927087"/>
    <w:rsid w:val="00932B85"/>
    <w:rsid w:val="0094082D"/>
    <w:rsid w:val="00942231"/>
    <w:rsid w:val="009448E0"/>
    <w:rsid w:val="00952597"/>
    <w:rsid w:val="00953DC3"/>
    <w:rsid w:val="00982657"/>
    <w:rsid w:val="00984B9A"/>
    <w:rsid w:val="00995A9D"/>
    <w:rsid w:val="009A1381"/>
    <w:rsid w:val="009A153E"/>
    <w:rsid w:val="009A31FF"/>
    <w:rsid w:val="009A4306"/>
    <w:rsid w:val="009A7B66"/>
    <w:rsid w:val="009B48DD"/>
    <w:rsid w:val="009C7F21"/>
    <w:rsid w:val="009D02EF"/>
    <w:rsid w:val="009D1F5B"/>
    <w:rsid w:val="009D5A2B"/>
    <w:rsid w:val="009D6016"/>
    <w:rsid w:val="009D7B84"/>
    <w:rsid w:val="009E3360"/>
    <w:rsid w:val="009E7C4A"/>
    <w:rsid w:val="009F4709"/>
    <w:rsid w:val="00A00155"/>
    <w:rsid w:val="00A156C4"/>
    <w:rsid w:val="00A170BB"/>
    <w:rsid w:val="00A41528"/>
    <w:rsid w:val="00A45A06"/>
    <w:rsid w:val="00A561EC"/>
    <w:rsid w:val="00A73BF5"/>
    <w:rsid w:val="00A75163"/>
    <w:rsid w:val="00A82738"/>
    <w:rsid w:val="00AA3379"/>
    <w:rsid w:val="00AA77F2"/>
    <w:rsid w:val="00AB0766"/>
    <w:rsid w:val="00AB3ED9"/>
    <w:rsid w:val="00AB7DF1"/>
    <w:rsid w:val="00AC6F51"/>
    <w:rsid w:val="00AC7174"/>
    <w:rsid w:val="00AD5921"/>
    <w:rsid w:val="00AE42DD"/>
    <w:rsid w:val="00AE4455"/>
    <w:rsid w:val="00AE74AF"/>
    <w:rsid w:val="00AF15D6"/>
    <w:rsid w:val="00AF239B"/>
    <w:rsid w:val="00AF572D"/>
    <w:rsid w:val="00B07A48"/>
    <w:rsid w:val="00B1001F"/>
    <w:rsid w:val="00B105E6"/>
    <w:rsid w:val="00B140E0"/>
    <w:rsid w:val="00B157E1"/>
    <w:rsid w:val="00B160F7"/>
    <w:rsid w:val="00B16CDF"/>
    <w:rsid w:val="00B1730E"/>
    <w:rsid w:val="00B216E5"/>
    <w:rsid w:val="00B51EB8"/>
    <w:rsid w:val="00B53E46"/>
    <w:rsid w:val="00B57FBE"/>
    <w:rsid w:val="00B612C6"/>
    <w:rsid w:val="00B673C7"/>
    <w:rsid w:val="00B6747A"/>
    <w:rsid w:val="00B70CE3"/>
    <w:rsid w:val="00B72A60"/>
    <w:rsid w:val="00B8502D"/>
    <w:rsid w:val="00B928E0"/>
    <w:rsid w:val="00B92BBE"/>
    <w:rsid w:val="00B92CDF"/>
    <w:rsid w:val="00BA1184"/>
    <w:rsid w:val="00BA7997"/>
    <w:rsid w:val="00BC5E02"/>
    <w:rsid w:val="00BC6287"/>
    <w:rsid w:val="00BC6F4A"/>
    <w:rsid w:val="00BD0C1D"/>
    <w:rsid w:val="00BE6226"/>
    <w:rsid w:val="00BF2B48"/>
    <w:rsid w:val="00C0474F"/>
    <w:rsid w:val="00C12B77"/>
    <w:rsid w:val="00C218E8"/>
    <w:rsid w:val="00C24C97"/>
    <w:rsid w:val="00C34C3D"/>
    <w:rsid w:val="00C3660E"/>
    <w:rsid w:val="00C36CF2"/>
    <w:rsid w:val="00C36F3D"/>
    <w:rsid w:val="00C42D77"/>
    <w:rsid w:val="00C45035"/>
    <w:rsid w:val="00C45E06"/>
    <w:rsid w:val="00C526CF"/>
    <w:rsid w:val="00C54BED"/>
    <w:rsid w:val="00C55297"/>
    <w:rsid w:val="00C55F5E"/>
    <w:rsid w:val="00C74FA9"/>
    <w:rsid w:val="00C970FD"/>
    <w:rsid w:val="00CA0DB1"/>
    <w:rsid w:val="00CA30F6"/>
    <w:rsid w:val="00CB2FA0"/>
    <w:rsid w:val="00CB5BA0"/>
    <w:rsid w:val="00CC2692"/>
    <w:rsid w:val="00CC32FE"/>
    <w:rsid w:val="00CE4CE2"/>
    <w:rsid w:val="00CE5BAE"/>
    <w:rsid w:val="00CE5EAD"/>
    <w:rsid w:val="00D04478"/>
    <w:rsid w:val="00D06254"/>
    <w:rsid w:val="00D277E9"/>
    <w:rsid w:val="00D34698"/>
    <w:rsid w:val="00D34928"/>
    <w:rsid w:val="00D36463"/>
    <w:rsid w:val="00D4028F"/>
    <w:rsid w:val="00D404F7"/>
    <w:rsid w:val="00D46437"/>
    <w:rsid w:val="00D538A9"/>
    <w:rsid w:val="00D5572C"/>
    <w:rsid w:val="00D6285A"/>
    <w:rsid w:val="00D628EE"/>
    <w:rsid w:val="00D64663"/>
    <w:rsid w:val="00D658C9"/>
    <w:rsid w:val="00D7065F"/>
    <w:rsid w:val="00D73C08"/>
    <w:rsid w:val="00D7652A"/>
    <w:rsid w:val="00D80362"/>
    <w:rsid w:val="00D8146E"/>
    <w:rsid w:val="00D81A19"/>
    <w:rsid w:val="00D920E6"/>
    <w:rsid w:val="00D93BEF"/>
    <w:rsid w:val="00D96B1B"/>
    <w:rsid w:val="00DA1429"/>
    <w:rsid w:val="00DB081B"/>
    <w:rsid w:val="00DB2F09"/>
    <w:rsid w:val="00DB544A"/>
    <w:rsid w:val="00DD049A"/>
    <w:rsid w:val="00DD3330"/>
    <w:rsid w:val="00DD40D2"/>
    <w:rsid w:val="00DE1A01"/>
    <w:rsid w:val="00DE48C9"/>
    <w:rsid w:val="00DE567A"/>
    <w:rsid w:val="00DE7902"/>
    <w:rsid w:val="00DF0DCE"/>
    <w:rsid w:val="00E00B0F"/>
    <w:rsid w:val="00E151B5"/>
    <w:rsid w:val="00E1521C"/>
    <w:rsid w:val="00E158E1"/>
    <w:rsid w:val="00E15FF0"/>
    <w:rsid w:val="00E1778A"/>
    <w:rsid w:val="00E23ACA"/>
    <w:rsid w:val="00E25A96"/>
    <w:rsid w:val="00E30297"/>
    <w:rsid w:val="00E324F2"/>
    <w:rsid w:val="00E37126"/>
    <w:rsid w:val="00E443B2"/>
    <w:rsid w:val="00E5313D"/>
    <w:rsid w:val="00E56507"/>
    <w:rsid w:val="00E66C19"/>
    <w:rsid w:val="00E70138"/>
    <w:rsid w:val="00E834AF"/>
    <w:rsid w:val="00E864EE"/>
    <w:rsid w:val="00E911B1"/>
    <w:rsid w:val="00E93C74"/>
    <w:rsid w:val="00EA3762"/>
    <w:rsid w:val="00EB149B"/>
    <w:rsid w:val="00EB756E"/>
    <w:rsid w:val="00EC4138"/>
    <w:rsid w:val="00EC6835"/>
    <w:rsid w:val="00ED023D"/>
    <w:rsid w:val="00ED13A4"/>
    <w:rsid w:val="00ED1CDE"/>
    <w:rsid w:val="00ED37D2"/>
    <w:rsid w:val="00EE4B3A"/>
    <w:rsid w:val="00EF276A"/>
    <w:rsid w:val="00F05B40"/>
    <w:rsid w:val="00F07FD9"/>
    <w:rsid w:val="00F346A1"/>
    <w:rsid w:val="00F428DE"/>
    <w:rsid w:val="00F47054"/>
    <w:rsid w:val="00F509A4"/>
    <w:rsid w:val="00F51A0F"/>
    <w:rsid w:val="00F51B0C"/>
    <w:rsid w:val="00F54BC2"/>
    <w:rsid w:val="00F604B1"/>
    <w:rsid w:val="00F62F86"/>
    <w:rsid w:val="00F749F6"/>
    <w:rsid w:val="00F75347"/>
    <w:rsid w:val="00F75732"/>
    <w:rsid w:val="00F81AA5"/>
    <w:rsid w:val="00F92B21"/>
    <w:rsid w:val="00FA0BBE"/>
    <w:rsid w:val="00FC0816"/>
    <w:rsid w:val="00FC0FE6"/>
    <w:rsid w:val="00FC33A1"/>
    <w:rsid w:val="00FC3E52"/>
    <w:rsid w:val="00FD07C6"/>
    <w:rsid w:val="00FD5E81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A51DC"/>
  <w15:chartTrackingRefBased/>
  <w15:docId w15:val="{928F9F1E-11AA-4209-BFCC-CF9B329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85"/>
    <w:pPr>
      <w:tabs>
        <w:tab w:val="left" w:pos="720"/>
      </w:tabs>
      <w:jc w:val="both"/>
    </w:pPr>
    <w:rPr>
      <w:sz w:val="22"/>
      <w:lang w:val="en-US"/>
    </w:rPr>
  </w:style>
  <w:style w:type="paragraph" w:styleId="Heading1">
    <w:name w:val="heading 1"/>
    <w:basedOn w:val="Normal"/>
    <w:next w:val="Heading2"/>
    <w:qFormat/>
    <w:rsid w:val="00DE48C9"/>
    <w:pPr>
      <w:keepNext/>
      <w:keepLines/>
      <w:numPr>
        <w:numId w:val="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qFormat/>
    <w:rsid w:val="00DE48C9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rsid w:val="00DE48C9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qFormat/>
    <w:rsid w:val="00DE48C9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rsid w:val="00DE48C9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8C9"/>
    <w:pPr>
      <w:numPr>
        <w:ilvl w:val="5"/>
        <w:numId w:val="1"/>
      </w:numPr>
      <w:spacing w:after="240"/>
    </w:pPr>
  </w:style>
  <w:style w:type="character" w:styleId="PageNumber">
    <w:name w:val="page number"/>
    <w:basedOn w:val="DefaultParagraphFont"/>
    <w:rsid w:val="00AF572D"/>
  </w:style>
  <w:style w:type="paragraph" w:styleId="BodyText2">
    <w:name w:val="Body Text 2"/>
    <w:basedOn w:val="Normal"/>
    <w:rsid w:val="00DE48C9"/>
    <w:pPr>
      <w:numPr>
        <w:ilvl w:val="6"/>
        <w:numId w:val="1"/>
      </w:numPr>
      <w:tabs>
        <w:tab w:val="clear" w:pos="720"/>
      </w:tabs>
      <w:spacing w:after="240"/>
    </w:pPr>
  </w:style>
  <w:style w:type="paragraph" w:styleId="BodyText3">
    <w:name w:val="Body Text 3"/>
    <w:basedOn w:val="Normal"/>
    <w:rsid w:val="00DE48C9"/>
    <w:pPr>
      <w:numPr>
        <w:ilvl w:val="7"/>
        <w:numId w:val="1"/>
      </w:numPr>
      <w:tabs>
        <w:tab w:val="clear" w:pos="720"/>
      </w:tabs>
      <w:spacing w:after="240"/>
    </w:pPr>
  </w:style>
  <w:style w:type="paragraph" w:customStyle="1" w:styleId="BodyText4">
    <w:name w:val="Body Text 4"/>
    <w:basedOn w:val="Normal"/>
    <w:rsid w:val="00DE48C9"/>
    <w:pPr>
      <w:numPr>
        <w:ilvl w:val="8"/>
        <w:numId w:val="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semiHidden/>
    <w:pPr>
      <w:jc w:val="left"/>
    </w:pPr>
    <w:rPr>
      <w:sz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ind w:firstLine="720"/>
    </w:pPr>
    <w:rPr>
      <w:sz w:val="20"/>
    </w:rPr>
  </w:style>
  <w:style w:type="paragraph" w:styleId="Index1">
    <w:name w:val="index 1"/>
    <w:basedOn w:val="Normal"/>
    <w:next w:val="Normal"/>
    <w:semiHidden/>
    <w:pPr>
      <w:ind w:left="221" w:hanging="221"/>
    </w:pPr>
  </w:style>
  <w:style w:type="paragraph" w:styleId="IndexHeading">
    <w:name w:val="index heading"/>
    <w:basedOn w:val="Normal"/>
    <w:next w:val="Index1"/>
    <w:semiHidden/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  <w:tabs>
        <w:tab w:val="clear" w:pos="643"/>
      </w:tabs>
      <w:ind w:left="1440" w:hanging="720"/>
    </w:pPr>
  </w:style>
  <w:style w:type="paragraph" w:styleId="ListBullet4">
    <w:name w:val="List Bullet 4"/>
    <w:basedOn w:val="Normal"/>
    <w:semiHidden/>
    <w:pPr>
      <w:numPr>
        <w:numId w:val="4"/>
      </w:numPr>
      <w:tabs>
        <w:tab w:val="clear" w:pos="1209"/>
        <w:tab w:val="left" w:pos="1440"/>
      </w:tabs>
      <w:ind w:left="2160" w:hanging="720"/>
    </w:pPr>
  </w:style>
  <w:style w:type="paragraph" w:styleId="ListNumber">
    <w:name w:val="List Number"/>
    <w:basedOn w:val="Normal"/>
    <w:semiHidden/>
    <w:pPr>
      <w:numPr>
        <w:numId w:val="6"/>
      </w:numPr>
      <w:tabs>
        <w:tab w:val="clear" w:pos="360"/>
      </w:tabs>
    </w:pPr>
  </w:style>
  <w:style w:type="paragraph" w:styleId="ListNumber2">
    <w:name w:val="List Number 2"/>
    <w:basedOn w:val="Normal"/>
    <w:semiHidden/>
    <w:pPr>
      <w:numPr>
        <w:numId w:val="5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pPr>
      <w:jc w:val="center"/>
    </w:pPr>
    <w:rPr>
      <w:u w:val="single"/>
    </w:rPr>
  </w:style>
  <w:style w:type="paragraph" w:customStyle="1" w:styleId="Title3">
    <w:name w:val="Title 3"/>
    <w:basedOn w:val="Normal"/>
    <w:pPr>
      <w:jc w:val="center"/>
    </w:pPr>
    <w:rPr>
      <w:i/>
    </w:rPr>
  </w:style>
  <w:style w:type="paragraph" w:customStyle="1" w:styleId="TitleCountry">
    <w:name w:val="Title Country"/>
    <w:basedOn w:val="Normal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pPr>
      <w:spacing w:after="240"/>
      <w:ind w:left="720" w:right="720"/>
    </w:pPr>
  </w:style>
  <w:style w:type="paragraph" w:customStyle="1" w:styleId="QuotationDouble">
    <w:name w:val="Quotation Double"/>
    <w:basedOn w:val="Normal"/>
    <w:pPr>
      <w:spacing w:after="240"/>
      <w:ind w:left="1440" w:right="1440"/>
    </w:pPr>
  </w:style>
  <w:style w:type="paragraph" w:customStyle="1" w:styleId="FootnoteQuotation">
    <w:name w:val="Footnote Quotation"/>
    <w:basedOn w:val="Normal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7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7"/>
      </w:tabs>
      <w:jc w:val="left"/>
    </w:pPr>
  </w:style>
  <w:style w:type="paragraph" w:customStyle="1" w:styleId="CharCharCharCharCharCharCharCharCharChar">
    <w:name w:val="Char Char Char Char Char Char Char Char Char Char"/>
    <w:aliases w:val=" Char Char Char Char Char Char Char Char Char Char Char Char Char"/>
    <w:basedOn w:val="Normal"/>
    <w:next w:val="Normal"/>
    <w:semiHidden/>
    <w:rsid w:val="009D02EF"/>
    <w:pPr>
      <w:tabs>
        <w:tab w:val="clear" w:pos="720"/>
      </w:tabs>
      <w:spacing w:after="160" w:line="240" w:lineRule="exact"/>
      <w:jc w:val="lef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508"/>
    <w:rPr>
      <w:rFonts w:ascii="Tahoma" w:hAnsi="Tahoma" w:cs="Tahoma"/>
      <w:sz w:val="16"/>
      <w:szCs w:val="16"/>
      <w:lang w:val="fr-FR" w:eastAsia="en-GB"/>
    </w:rPr>
  </w:style>
  <w:style w:type="paragraph" w:styleId="Revision">
    <w:name w:val="Revision"/>
    <w:hidden/>
    <w:uiPriority w:val="99"/>
    <w:semiHidden/>
    <w:rsid w:val="00881E86"/>
    <w:rPr>
      <w:sz w:val="22"/>
      <w:lang w:val="fr-FR"/>
    </w:rPr>
  </w:style>
  <w:style w:type="character" w:styleId="CommentReference">
    <w:name w:val="annotation reference"/>
    <w:uiPriority w:val="99"/>
    <w:semiHidden/>
    <w:unhideWhenUsed/>
    <w:rsid w:val="006F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85B"/>
    <w:rPr>
      <w:sz w:val="20"/>
    </w:rPr>
  </w:style>
  <w:style w:type="character" w:customStyle="1" w:styleId="CommentTextChar">
    <w:name w:val="Comment Text Char"/>
    <w:link w:val="CommentText"/>
    <w:uiPriority w:val="99"/>
    <w:rsid w:val="006F585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8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585B"/>
    <w:rPr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4C1D64"/>
    <w:pPr>
      <w:tabs>
        <w:tab w:val="clear" w:pos="720"/>
      </w:tabs>
      <w:ind w:left="720"/>
      <w:contextualSpacing/>
    </w:pPr>
    <w:rPr>
      <w:rFonts w:ascii="Verdana" w:eastAsia="Calibri" w:hAnsi="Verdana" w:cs="Arial"/>
      <w:sz w:val="18"/>
      <w:szCs w:val="22"/>
      <w:lang w:val="en-GB" w:eastAsia="en-US"/>
    </w:rPr>
  </w:style>
  <w:style w:type="table" w:styleId="TableGrid">
    <w:name w:val="Table Grid"/>
    <w:basedOn w:val="TableNormal"/>
    <w:uiPriority w:val="59"/>
    <w:rsid w:val="0099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5A9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307713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7B181F"/>
    <w:rPr>
      <w:sz w:val="22"/>
      <w:lang w:val="fr-FR"/>
    </w:rPr>
  </w:style>
  <w:style w:type="character" w:customStyle="1" w:styleId="ui-provider">
    <w:name w:val="ui-provider"/>
    <w:basedOn w:val="DefaultParagraphFont"/>
    <w:rsid w:val="00252222"/>
  </w:style>
  <w:style w:type="character" w:customStyle="1" w:styleId="FooterChar">
    <w:name w:val="Footer Char"/>
    <w:basedOn w:val="DefaultParagraphFont"/>
    <w:link w:val="Footer"/>
    <w:uiPriority w:val="99"/>
    <w:rsid w:val="00E93C74"/>
    <w:rPr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0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ip-services-worldbank.wt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WTO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Cossy</dc:creator>
  <cp:keywords/>
  <cp:lastModifiedBy>Gonzalez, Paulo</cp:lastModifiedBy>
  <cp:revision>3</cp:revision>
  <cp:lastPrinted>2024-12-05T18:09:00Z</cp:lastPrinted>
  <dcterms:created xsi:type="dcterms:W3CDTF">2025-04-01T12:42:00Z</dcterms:created>
  <dcterms:modified xsi:type="dcterms:W3CDTF">2025-04-01T12:43:00Z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ee7be7b7-d03e-468e-b348-3efa5c826201</vt:lpwstr>
  </property>
</Properties>
</file>