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442D" w14:textId="77777777" w:rsidR="00AF572D" w:rsidRPr="006E3E8B" w:rsidRDefault="00AF572D" w:rsidP="0031521C">
      <w:pPr>
        <w:pStyle w:val="Heading1"/>
        <w:numPr>
          <w:ilvl w:val="0"/>
          <w:numId w:val="0"/>
        </w:numPr>
        <w:ind w:left="720"/>
      </w:pPr>
    </w:p>
    <w:p w14:paraId="5CEDF6D7" w14:textId="168DA2AD" w:rsidR="00D36463" w:rsidRPr="00CC4A4B" w:rsidRDefault="00D36463" w:rsidP="00D36463">
      <w:pPr>
        <w:tabs>
          <w:tab w:val="clear" w:pos="720"/>
        </w:tabs>
        <w:spacing w:before="480" w:after="240"/>
        <w:contextualSpacing/>
        <w:jc w:val="center"/>
        <w:rPr>
          <w:rFonts w:ascii="Verdana" w:hAnsi="Verdana"/>
          <w:b/>
          <w:caps/>
          <w:color w:val="006283"/>
          <w:kern w:val="28"/>
          <w:szCs w:val="22"/>
          <w:lang w:val="en-GB" w:eastAsia="en-US"/>
        </w:rPr>
      </w:pPr>
      <w:r w:rsidRPr="00CC4A4B">
        <w:rPr>
          <w:rFonts w:ascii="Verdana" w:hAnsi="Verdana"/>
          <w:b/>
          <w:caps/>
          <w:color w:val="006283"/>
          <w:kern w:val="28"/>
          <w:szCs w:val="22"/>
          <w:lang w:val="en-GB" w:eastAsia="en-US"/>
        </w:rPr>
        <w:t xml:space="preserve">WTO </w:t>
      </w:r>
      <w:r w:rsidR="00E0315D">
        <w:rPr>
          <w:rFonts w:ascii="Verdana" w:hAnsi="Verdana"/>
          <w:b/>
          <w:caps/>
          <w:color w:val="006283"/>
          <w:kern w:val="28"/>
          <w:szCs w:val="22"/>
          <w:lang w:val="en-GB" w:eastAsia="en-US"/>
        </w:rPr>
        <w:t>virtual</w:t>
      </w:r>
      <w:r w:rsidRPr="00CC4A4B">
        <w:rPr>
          <w:rFonts w:ascii="Verdana" w:hAnsi="Verdana"/>
          <w:b/>
          <w:caps/>
          <w:color w:val="006283"/>
          <w:kern w:val="28"/>
          <w:szCs w:val="22"/>
          <w:lang w:val="en-GB" w:eastAsia="en-US"/>
        </w:rPr>
        <w:t xml:space="preserve"> Seminar </w:t>
      </w:r>
      <w:r w:rsidR="00E0315D">
        <w:rPr>
          <w:rFonts w:ascii="Verdana" w:hAnsi="Verdana"/>
          <w:b/>
          <w:caps/>
          <w:color w:val="006283"/>
          <w:kern w:val="28"/>
          <w:szCs w:val="22"/>
          <w:lang w:val="en-GB" w:eastAsia="en-US"/>
        </w:rPr>
        <w:t xml:space="preserve">for jamaica </w:t>
      </w:r>
      <w:r w:rsidR="00B53E46" w:rsidRPr="00CC4A4B">
        <w:rPr>
          <w:rFonts w:ascii="Verdana" w:hAnsi="Verdana"/>
          <w:b/>
          <w:caps/>
          <w:color w:val="006283"/>
          <w:kern w:val="28"/>
          <w:szCs w:val="22"/>
          <w:lang w:val="en-GB" w:eastAsia="en-US"/>
        </w:rPr>
        <w:t xml:space="preserve">ON </w:t>
      </w:r>
      <w:r w:rsidRPr="00CC4A4B">
        <w:rPr>
          <w:rFonts w:ascii="Verdana" w:hAnsi="Verdana"/>
          <w:b/>
          <w:caps/>
          <w:color w:val="006283"/>
          <w:kern w:val="28"/>
          <w:szCs w:val="22"/>
          <w:lang w:val="en-GB" w:eastAsia="en-US"/>
        </w:rPr>
        <w:t>Trade in Services</w:t>
      </w:r>
    </w:p>
    <w:p w14:paraId="5F910B45" w14:textId="77777777" w:rsidR="002B57C2" w:rsidRPr="00D36463" w:rsidRDefault="002B57C2" w:rsidP="00D36463">
      <w:pPr>
        <w:tabs>
          <w:tab w:val="clear" w:pos="720"/>
        </w:tabs>
        <w:spacing w:before="480" w:after="240"/>
        <w:contextualSpacing/>
        <w:jc w:val="center"/>
        <w:rPr>
          <w:rFonts w:ascii="Verdana" w:hAnsi="Verdana"/>
          <w:b/>
          <w:caps/>
          <w:color w:val="006283"/>
          <w:kern w:val="28"/>
          <w:sz w:val="18"/>
          <w:szCs w:val="52"/>
          <w:lang w:val="en-GB" w:eastAsia="en-US"/>
        </w:rPr>
      </w:pPr>
    </w:p>
    <w:p w14:paraId="55EC9C9F" w14:textId="74816A52" w:rsidR="002B7165" w:rsidRDefault="002B7165" w:rsidP="00E0315D">
      <w:pPr>
        <w:tabs>
          <w:tab w:val="clear" w:pos="720"/>
        </w:tabs>
        <w:spacing w:before="480" w:after="240"/>
        <w:contextualSpacing/>
        <w:jc w:val="center"/>
        <w:rPr>
          <w:rFonts w:ascii="Verdana" w:hAnsi="Verdana"/>
          <w:b/>
          <w:caps/>
          <w:color w:val="006283"/>
          <w:kern w:val="28"/>
          <w:sz w:val="18"/>
          <w:szCs w:val="52"/>
          <w:lang w:val="en-GB" w:eastAsia="en-US"/>
        </w:rPr>
      </w:pPr>
      <w:r>
        <w:rPr>
          <w:rFonts w:ascii="Verdana" w:hAnsi="Verdana"/>
          <w:b/>
          <w:caps/>
          <w:color w:val="006283"/>
          <w:kern w:val="28"/>
          <w:sz w:val="18"/>
          <w:szCs w:val="52"/>
          <w:lang w:val="en-GB" w:eastAsia="en-US"/>
        </w:rPr>
        <w:t>23</w:t>
      </w:r>
      <w:r w:rsidR="00CC4A4B">
        <w:rPr>
          <w:rFonts w:ascii="Verdana" w:hAnsi="Verdana"/>
          <w:b/>
          <w:caps/>
          <w:color w:val="006283"/>
          <w:kern w:val="28"/>
          <w:sz w:val="18"/>
          <w:szCs w:val="52"/>
          <w:lang w:val="en-GB" w:eastAsia="en-US"/>
        </w:rPr>
        <w:t>-</w:t>
      </w:r>
      <w:r>
        <w:rPr>
          <w:rFonts w:ascii="Verdana" w:hAnsi="Verdana"/>
          <w:b/>
          <w:caps/>
          <w:color w:val="006283"/>
          <w:kern w:val="28"/>
          <w:sz w:val="18"/>
          <w:szCs w:val="52"/>
          <w:lang w:val="en-GB" w:eastAsia="en-US"/>
        </w:rPr>
        <w:t>24</w:t>
      </w:r>
      <w:r w:rsidR="00CC4A4B">
        <w:rPr>
          <w:rFonts w:ascii="Verdana" w:hAnsi="Verdana"/>
          <w:b/>
          <w:caps/>
          <w:color w:val="006283"/>
          <w:kern w:val="28"/>
          <w:sz w:val="18"/>
          <w:szCs w:val="52"/>
          <w:lang w:val="en-GB" w:eastAsia="en-US"/>
        </w:rPr>
        <w:t xml:space="preserve"> ju</w:t>
      </w:r>
      <w:r>
        <w:rPr>
          <w:rFonts w:ascii="Verdana" w:hAnsi="Verdana"/>
          <w:b/>
          <w:caps/>
          <w:color w:val="006283"/>
          <w:kern w:val="28"/>
          <w:sz w:val="18"/>
          <w:szCs w:val="52"/>
          <w:lang w:val="en-GB" w:eastAsia="en-US"/>
        </w:rPr>
        <w:t>LY</w:t>
      </w:r>
      <w:r w:rsidR="00CC4A4B">
        <w:rPr>
          <w:rFonts w:ascii="Verdana" w:hAnsi="Verdana"/>
          <w:b/>
          <w:caps/>
          <w:color w:val="006283"/>
          <w:kern w:val="28"/>
          <w:sz w:val="18"/>
          <w:szCs w:val="52"/>
          <w:lang w:val="en-GB" w:eastAsia="en-US"/>
        </w:rPr>
        <w:t xml:space="preserve"> 2025</w:t>
      </w:r>
      <w:r w:rsidR="00E0315D">
        <w:rPr>
          <w:rFonts w:ascii="Verdana" w:hAnsi="Verdana"/>
          <w:b/>
          <w:caps/>
          <w:color w:val="006283"/>
          <w:kern w:val="28"/>
          <w:sz w:val="18"/>
          <w:szCs w:val="52"/>
          <w:lang w:val="en-GB" w:eastAsia="en-US"/>
        </w:rPr>
        <w:t xml:space="preserve"> </w:t>
      </w:r>
    </w:p>
    <w:p w14:paraId="35CBB1A1" w14:textId="54943CC8" w:rsidR="00E0315D" w:rsidRPr="00D36463" w:rsidRDefault="00E0315D" w:rsidP="00E0315D">
      <w:pPr>
        <w:tabs>
          <w:tab w:val="clear" w:pos="720"/>
        </w:tabs>
        <w:spacing w:before="480" w:after="240"/>
        <w:contextualSpacing/>
        <w:jc w:val="center"/>
        <w:rPr>
          <w:rFonts w:ascii="Verdana" w:hAnsi="Verdana"/>
          <w:b/>
          <w:caps/>
          <w:color w:val="006283"/>
          <w:kern w:val="28"/>
          <w:sz w:val="18"/>
          <w:szCs w:val="52"/>
          <w:lang w:val="en-GB" w:eastAsia="en-US"/>
        </w:rPr>
      </w:pPr>
      <w:r>
        <w:rPr>
          <w:rFonts w:ascii="Verdana" w:hAnsi="Verdana"/>
          <w:b/>
          <w:caps/>
          <w:color w:val="006283"/>
          <w:kern w:val="28"/>
          <w:sz w:val="18"/>
          <w:szCs w:val="52"/>
          <w:lang w:val="en-GB" w:eastAsia="en-US"/>
        </w:rPr>
        <w:t>zoom platform</w:t>
      </w:r>
    </w:p>
    <w:p w14:paraId="5AC3E600" w14:textId="77777777" w:rsidR="00D36463" w:rsidRPr="00D36463" w:rsidRDefault="00D36463" w:rsidP="00D36463">
      <w:pPr>
        <w:tabs>
          <w:tab w:val="clear" w:pos="720"/>
        </w:tabs>
        <w:spacing w:before="480" w:after="240"/>
        <w:contextualSpacing/>
        <w:jc w:val="center"/>
        <w:rPr>
          <w:rFonts w:ascii="Verdana" w:hAnsi="Verdana"/>
          <w:b/>
          <w:caps/>
          <w:color w:val="006283"/>
          <w:kern w:val="28"/>
          <w:sz w:val="18"/>
          <w:szCs w:val="52"/>
          <w:lang w:val="en-GB" w:eastAsia="en-US"/>
        </w:rPr>
      </w:pPr>
    </w:p>
    <w:p w14:paraId="42C89CD5" w14:textId="1B1A3ABC" w:rsidR="000B3766" w:rsidRPr="00D36463" w:rsidRDefault="00ED37D2" w:rsidP="00D36463">
      <w:pPr>
        <w:tabs>
          <w:tab w:val="clear" w:pos="720"/>
        </w:tabs>
        <w:spacing w:before="480" w:after="240"/>
        <w:contextualSpacing/>
        <w:jc w:val="center"/>
        <w:rPr>
          <w:rFonts w:ascii="Verdana" w:hAnsi="Verdana"/>
          <w:b/>
          <w:caps/>
          <w:color w:val="006283"/>
          <w:kern w:val="28"/>
          <w:sz w:val="18"/>
          <w:szCs w:val="52"/>
          <w:lang w:val="en-GB" w:eastAsia="en-US"/>
        </w:rPr>
      </w:pPr>
      <w:r>
        <w:rPr>
          <w:rFonts w:ascii="Verdana" w:hAnsi="Verdana"/>
          <w:b/>
          <w:caps/>
          <w:color w:val="006283"/>
          <w:kern w:val="28"/>
          <w:sz w:val="18"/>
          <w:szCs w:val="52"/>
          <w:highlight w:val="yellow"/>
          <w:lang w:val="en-GB" w:eastAsia="en-US"/>
        </w:rPr>
        <w:t>REVISED</w:t>
      </w:r>
      <w:r w:rsidR="00D36463" w:rsidRPr="00D36463">
        <w:rPr>
          <w:rFonts w:ascii="Verdana" w:hAnsi="Verdana"/>
          <w:b/>
          <w:caps/>
          <w:color w:val="006283"/>
          <w:kern w:val="28"/>
          <w:sz w:val="18"/>
          <w:szCs w:val="52"/>
          <w:highlight w:val="yellow"/>
          <w:lang w:val="en-GB" w:eastAsia="en-US"/>
        </w:rPr>
        <w:t xml:space="preserve"> DRAF</w:t>
      </w:r>
      <w:r w:rsidR="00E0315D">
        <w:rPr>
          <w:rFonts w:ascii="Verdana" w:hAnsi="Verdana"/>
          <w:b/>
          <w:caps/>
          <w:color w:val="006283"/>
          <w:kern w:val="28"/>
          <w:sz w:val="18"/>
          <w:szCs w:val="52"/>
          <w:highlight w:val="yellow"/>
          <w:lang w:val="en-GB" w:eastAsia="en-US"/>
        </w:rPr>
        <w:t xml:space="preserve">T </w:t>
      </w:r>
      <w:r w:rsidR="00B14938">
        <w:rPr>
          <w:rFonts w:ascii="Verdana" w:hAnsi="Verdana"/>
          <w:b/>
          <w:caps/>
          <w:color w:val="006283"/>
          <w:kern w:val="28"/>
          <w:sz w:val="18"/>
          <w:szCs w:val="52"/>
          <w:highlight w:val="yellow"/>
          <w:lang w:val="en-GB" w:eastAsia="en-US"/>
        </w:rPr>
        <w:t xml:space="preserve">PROGRAMME </w:t>
      </w:r>
      <w:r w:rsidR="00E0315D">
        <w:rPr>
          <w:rFonts w:ascii="Verdana" w:hAnsi="Verdana"/>
          <w:b/>
          <w:caps/>
          <w:color w:val="006283"/>
          <w:kern w:val="28"/>
          <w:sz w:val="18"/>
          <w:szCs w:val="52"/>
          <w:highlight w:val="yellow"/>
          <w:lang w:val="en-GB" w:eastAsia="en-US"/>
        </w:rPr>
        <w:t>for virtual training</w:t>
      </w:r>
    </w:p>
    <w:p w14:paraId="2BBA18C8" w14:textId="77777777" w:rsidR="00321F41" w:rsidRPr="006E3E8B" w:rsidRDefault="00321F41" w:rsidP="009C7F21">
      <w:pPr>
        <w:jc w:val="center"/>
        <w:rPr>
          <w:rFonts w:ascii="Verdana" w:hAnsi="Verdana"/>
          <w:b/>
          <w:sz w:val="20"/>
        </w:rPr>
      </w:pPr>
    </w:p>
    <w:p w14:paraId="08943083" w14:textId="77777777" w:rsidR="00521FC2" w:rsidRDefault="00521FC2" w:rsidP="00942231">
      <w:pPr>
        <w:spacing w:after="240"/>
        <w:rPr>
          <w:rFonts w:ascii="Verdana" w:hAnsi="Verdana"/>
          <w:b/>
          <w:sz w:val="20"/>
          <w:u w:val="single"/>
        </w:rPr>
      </w:pPr>
    </w:p>
    <w:p w14:paraId="35ABF50E" w14:textId="245428F2" w:rsidR="00521FC2" w:rsidRDefault="00B157E1" w:rsidP="00942231">
      <w:pPr>
        <w:spacing w:after="240"/>
        <w:rPr>
          <w:rFonts w:ascii="Verdana" w:hAnsi="Verdana"/>
          <w:bCs/>
          <w:sz w:val="20"/>
        </w:rPr>
      </w:pPr>
      <w:r w:rsidRPr="006E3E8B">
        <w:rPr>
          <w:rFonts w:ascii="Verdana" w:hAnsi="Verdana"/>
          <w:b/>
          <w:sz w:val="20"/>
          <w:u w:val="single"/>
        </w:rPr>
        <w:t>NOTE</w:t>
      </w:r>
      <w:r w:rsidRPr="006E3E8B">
        <w:rPr>
          <w:rFonts w:ascii="Verdana" w:hAnsi="Verdana"/>
          <w:bCs/>
          <w:sz w:val="20"/>
        </w:rPr>
        <w:t xml:space="preserve">: </w:t>
      </w:r>
      <w:r w:rsidR="00D24585">
        <w:rPr>
          <w:rFonts w:ascii="Verdana" w:hAnsi="Verdana"/>
          <w:bCs/>
          <w:sz w:val="20"/>
        </w:rPr>
        <w:t xml:space="preserve">In light of the WTO </w:t>
      </w:r>
      <w:r w:rsidR="00B14938" w:rsidRPr="00B14938">
        <w:rPr>
          <w:rFonts w:ascii="Verdana" w:hAnsi="Verdana"/>
          <w:bCs/>
          <w:sz w:val="20"/>
        </w:rPr>
        <w:t xml:space="preserve">budgetary constraints affecting the WTO Technical Assistance </w:t>
      </w:r>
      <w:r w:rsidR="00B14938">
        <w:rPr>
          <w:rFonts w:ascii="Verdana" w:hAnsi="Verdana"/>
          <w:bCs/>
          <w:sz w:val="20"/>
        </w:rPr>
        <w:t>function</w:t>
      </w:r>
      <w:r w:rsidR="00B14938" w:rsidRPr="00B14938">
        <w:rPr>
          <w:rFonts w:ascii="Verdana" w:hAnsi="Verdana"/>
          <w:bCs/>
          <w:sz w:val="20"/>
        </w:rPr>
        <w:t>,</w:t>
      </w:r>
      <w:r w:rsidR="00B14938">
        <w:rPr>
          <w:rFonts w:ascii="Verdana" w:hAnsi="Verdana"/>
          <w:bCs/>
          <w:sz w:val="20"/>
        </w:rPr>
        <w:t xml:space="preserve"> the below programme for an activity on trade in services for Jamaica has been adjusted for online delivery. Upon request of Jamaica, the focus will be on the basic</w:t>
      </w:r>
      <w:r w:rsidR="000830FB">
        <w:rPr>
          <w:rFonts w:ascii="Verdana" w:hAnsi="Verdana"/>
          <w:bCs/>
          <w:sz w:val="20"/>
        </w:rPr>
        <w:t>s</w:t>
      </w:r>
      <w:r w:rsidR="00B14938">
        <w:rPr>
          <w:rFonts w:ascii="Verdana" w:hAnsi="Verdana"/>
          <w:bCs/>
          <w:sz w:val="20"/>
        </w:rPr>
        <w:t xml:space="preserve"> of trade in services, including the </w:t>
      </w:r>
      <w:r w:rsidR="00B14938" w:rsidRPr="00F05B40">
        <w:rPr>
          <w:rFonts w:ascii="Verdana" w:hAnsi="Verdana"/>
          <w:bCs/>
          <w:sz w:val="20"/>
        </w:rPr>
        <w:t>WTO General Agreement on Trade in Services (GATS), its key obligations and Schedules of specific commitments</w:t>
      </w:r>
      <w:r w:rsidR="00B14938">
        <w:rPr>
          <w:rFonts w:ascii="Verdana" w:hAnsi="Verdana"/>
          <w:bCs/>
          <w:sz w:val="20"/>
        </w:rPr>
        <w:t>. Time will also be allocated to an analysis of Jamaica's services commitments at the WTO. The WTO Trade in Services and Investment Divisions stands ready to complement this virtual workshop with an in-person activity in Kingston as soon as this will be possible.</w:t>
      </w:r>
    </w:p>
    <w:p w14:paraId="2038D7C3" w14:textId="3CCAEE87" w:rsidR="000B3766" w:rsidRPr="006E3E8B" w:rsidRDefault="00926985" w:rsidP="00B14938">
      <w:pPr>
        <w:shd w:val="clear" w:color="auto" w:fill="C5E0B3" w:themeFill="accent6" w:themeFillTint="66"/>
        <w:spacing w:after="240"/>
        <w:rPr>
          <w:rFonts w:ascii="Verdana" w:hAnsi="Verdana"/>
          <w:b/>
          <w:sz w:val="20"/>
        </w:rPr>
      </w:pPr>
      <w:r>
        <w:rPr>
          <w:rFonts w:ascii="Verdana" w:hAnsi="Verdana"/>
          <w:b/>
          <w:sz w:val="20"/>
        </w:rPr>
        <w:t xml:space="preserve">Tuesday, </w:t>
      </w:r>
      <w:r w:rsidR="002B7165">
        <w:rPr>
          <w:rFonts w:ascii="Verdana" w:hAnsi="Verdana"/>
          <w:b/>
          <w:sz w:val="20"/>
        </w:rPr>
        <w:t>23</w:t>
      </w:r>
      <w:r>
        <w:rPr>
          <w:rFonts w:ascii="Verdana" w:hAnsi="Verdana"/>
          <w:b/>
          <w:sz w:val="20"/>
        </w:rPr>
        <w:t xml:space="preserve"> Ju</w:t>
      </w:r>
      <w:r w:rsidR="002B7165">
        <w:rPr>
          <w:rFonts w:ascii="Verdana" w:hAnsi="Verdana"/>
          <w:b/>
          <w:sz w:val="20"/>
        </w:rPr>
        <w:t>ly</w:t>
      </w:r>
      <w:r>
        <w:rPr>
          <w:rFonts w:ascii="Verdana" w:hAnsi="Verdana"/>
          <w:b/>
          <w:sz w:val="20"/>
        </w:rPr>
        <w:t xml:space="preserve"> 2025</w:t>
      </w:r>
    </w:p>
    <w:tbl>
      <w:tblPr>
        <w:tblW w:w="103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83"/>
        <w:gridCol w:w="7765"/>
      </w:tblGrid>
      <w:tr w:rsidR="00995A9D" w:rsidRPr="006E3E8B" w14:paraId="6127E776" w14:textId="77777777" w:rsidTr="00B14938">
        <w:tc>
          <w:tcPr>
            <w:tcW w:w="2583" w:type="dxa"/>
            <w:tcBorders>
              <w:top w:val="nil"/>
              <w:left w:val="nil"/>
              <w:bottom w:val="nil"/>
              <w:right w:val="nil"/>
            </w:tcBorders>
            <w:shd w:val="clear" w:color="auto" w:fill="auto"/>
          </w:tcPr>
          <w:p w14:paraId="164CEFF2" w14:textId="1CB5D366" w:rsidR="00995A9D" w:rsidRPr="006E3E8B" w:rsidRDefault="00995A9D" w:rsidP="00C55F5E">
            <w:pPr>
              <w:rPr>
                <w:rFonts w:ascii="Verdana" w:hAnsi="Verdana"/>
                <w:sz w:val="20"/>
              </w:rPr>
            </w:pPr>
            <w:r w:rsidRPr="006E3E8B">
              <w:rPr>
                <w:rFonts w:ascii="Verdana" w:hAnsi="Verdana"/>
                <w:sz w:val="20"/>
              </w:rPr>
              <w:t xml:space="preserve">9h00 </w:t>
            </w:r>
            <w:r w:rsidR="0025368A" w:rsidRPr="006E3E8B">
              <w:rPr>
                <w:rFonts w:ascii="Verdana" w:hAnsi="Verdana"/>
                <w:sz w:val="20"/>
              </w:rPr>
              <w:t>–</w:t>
            </w:r>
            <w:r w:rsidRPr="006E3E8B">
              <w:rPr>
                <w:rFonts w:ascii="Verdana" w:hAnsi="Verdana"/>
                <w:sz w:val="20"/>
              </w:rPr>
              <w:t xml:space="preserve"> 9h</w:t>
            </w:r>
            <w:r w:rsidR="00133F1C">
              <w:rPr>
                <w:rFonts w:ascii="Verdana" w:hAnsi="Verdana"/>
                <w:sz w:val="20"/>
              </w:rPr>
              <w:t>15</w:t>
            </w:r>
          </w:p>
        </w:tc>
        <w:tc>
          <w:tcPr>
            <w:tcW w:w="7765" w:type="dxa"/>
            <w:tcBorders>
              <w:top w:val="nil"/>
              <w:left w:val="nil"/>
              <w:bottom w:val="nil"/>
              <w:right w:val="nil"/>
            </w:tcBorders>
            <w:shd w:val="clear" w:color="auto" w:fill="auto"/>
          </w:tcPr>
          <w:p w14:paraId="45FE9EE5" w14:textId="77777777" w:rsidR="00995A9D" w:rsidRPr="006E3E8B" w:rsidRDefault="0025368A" w:rsidP="00835F43">
            <w:pPr>
              <w:spacing w:after="120"/>
              <w:rPr>
                <w:rFonts w:ascii="Verdana" w:hAnsi="Verdana"/>
                <w:b/>
                <w:sz w:val="20"/>
              </w:rPr>
            </w:pPr>
            <w:r w:rsidRPr="006E3E8B">
              <w:rPr>
                <w:rFonts w:ascii="Verdana" w:hAnsi="Verdana"/>
                <w:b/>
                <w:sz w:val="20"/>
              </w:rPr>
              <w:t>Opening Session</w:t>
            </w:r>
          </w:p>
          <w:p w14:paraId="2D228D06" w14:textId="5984D910" w:rsidR="0025368A" w:rsidRPr="006E3E8B" w:rsidRDefault="0025368A" w:rsidP="00835F43">
            <w:pPr>
              <w:pStyle w:val="ListParagraph"/>
              <w:numPr>
                <w:ilvl w:val="0"/>
                <w:numId w:val="22"/>
              </w:numPr>
              <w:spacing w:after="120"/>
              <w:rPr>
                <w:sz w:val="20"/>
                <w:lang w:val="en-US"/>
              </w:rPr>
            </w:pPr>
            <w:r w:rsidRPr="006E3E8B">
              <w:rPr>
                <w:sz w:val="20"/>
                <w:lang w:val="en-US"/>
              </w:rPr>
              <w:t xml:space="preserve">Welcome and </w:t>
            </w:r>
            <w:r w:rsidR="003B30C5" w:rsidRPr="006E3E8B">
              <w:rPr>
                <w:sz w:val="20"/>
                <w:lang w:val="en-US"/>
              </w:rPr>
              <w:t>o</w:t>
            </w:r>
            <w:r w:rsidRPr="006E3E8B">
              <w:rPr>
                <w:sz w:val="20"/>
                <w:lang w:val="en-US"/>
              </w:rPr>
              <w:t xml:space="preserve">pening </w:t>
            </w:r>
            <w:r w:rsidR="003B30C5" w:rsidRPr="006E3E8B">
              <w:rPr>
                <w:sz w:val="20"/>
                <w:lang w:val="en-US"/>
              </w:rPr>
              <w:t>r</w:t>
            </w:r>
            <w:r w:rsidRPr="006E3E8B">
              <w:rPr>
                <w:sz w:val="20"/>
                <w:lang w:val="en-US"/>
              </w:rPr>
              <w:t>emarks</w:t>
            </w:r>
            <w:r w:rsidR="00BC6F4A" w:rsidRPr="006E3E8B">
              <w:rPr>
                <w:sz w:val="20"/>
                <w:lang w:val="en-US"/>
              </w:rPr>
              <w:t xml:space="preserve"> by </w:t>
            </w:r>
            <w:r w:rsidR="008A04AF" w:rsidRPr="006E3E8B">
              <w:rPr>
                <w:sz w:val="20"/>
                <w:lang w:val="en-US"/>
              </w:rPr>
              <w:t>Jamaica</w:t>
            </w:r>
          </w:p>
          <w:p w14:paraId="3A2823B4" w14:textId="39BA0163" w:rsidR="0025368A" w:rsidRPr="006E3E8B" w:rsidRDefault="0025368A" w:rsidP="00835F43">
            <w:pPr>
              <w:pStyle w:val="ListParagraph"/>
              <w:numPr>
                <w:ilvl w:val="0"/>
                <w:numId w:val="22"/>
              </w:numPr>
              <w:spacing w:after="120"/>
              <w:jc w:val="left"/>
              <w:rPr>
                <w:sz w:val="20"/>
                <w:lang w:val="en-US"/>
              </w:rPr>
            </w:pPr>
            <w:r w:rsidRPr="006E3E8B">
              <w:rPr>
                <w:sz w:val="20"/>
                <w:lang w:val="en-US"/>
              </w:rPr>
              <w:t xml:space="preserve">General </w:t>
            </w:r>
            <w:r w:rsidR="003B30C5" w:rsidRPr="006E3E8B">
              <w:rPr>
                <w:sz w:val="20"/>
                <w:lang w:val="en-US"/>
              </w:rPr>
              <w:t>i</w:t>
            </w:r>
            <w:r w:rsidRPr="006E3E8B">
              <w:rPr>
                <w:sz w:val="20"/>
                <w:lang w:val="en-US"/>
              </w:rPr>
              <w:t xml:space="preserve">ntroduction and </w:t>
            </w:r>
            <w:r w:rsidR="003B30C5" w:rsidRPr="006E3E8B">
              <w:rPr>
                <w:sz w:val="20"/>
                <w:lang w:val="en-US"/>
              </w:rPr>
              <w:t>o</w:t>
            </w:r>
            <w:r w:rsidRPr="006E3E8B">
              <w:rPr>
                <w:sz w:val="20"/>
                <w:lang w:val="en-US"/>
              </w:rPr>
              <w:t xml:space="preserve">bjectives of the </w:t>
            </w:r>
            <w:r w:rsidR="003B30C5" w:rsidRPr="006E3E8B">
              <w:rPr>
                <w:sz w:val="20"/>
                <w:lang w:val="en-US"/>
              </w:rPr>
              <w:t>workshop</w:t>
            </w:r>
            <w:r w:rsidR="00BC6F4A" w:rsidRPr="006E3E8B">
              <w:rPr>
                <w:sz w:val="20"/>
                <w:lang w:val="en-US"/>
              </w:rPr>
              <w:t xml:space="preserve"> by WTO Secretariat</w:t>
            </w:r>
            <w:r w:rsidR="00E23ACA" w:rsidRPr="006E3E8B">
              <w:rPr>
                <w:sz w:val="20"/>
                <w:lang w:val="en-US"/>
              </w:rPr>
              <w:t xml:space="preserve"> </w:t>
            </w:r>
          </w:p>
          <w:p w14:paraId="209DCF56" w14:textId="7FAAC8D5" w:rsidR="0025368A" w:rsidRPr="00B14938" w:rsidRDefault="00942231" w:rsidP="00B14938">
            <w:pPr>
              <w:pStyle w:val="ListParagraph"/>
              <w:numPr>
                <w:ilvl w:val="0"/>
                <w:numId w:val="22"/>
              </w:numPr>
              <w:spacing w:after="120"/>
              <w:jc w:val="left"/>
              <w:rPr>
                <w:sz w:val="20"/>
                <w:lang w:val="en-US"/>
              </w:rPr>
            </w:pPr>
            <w:r w:rsidRPr="006E3E8B">
              <w:rPr>
                <w:sz w:val="20"/>
                <w:lang w:val="en-US"/>
              </w:rPr>
              <w:t>Participants' introductions</w:t>
            </w:r>
          </w:p>
        </w:tc>
      </w:tr>
      <w:tr w:rsidR="0025368A" w:rsidRPr="006E3E8B" w14:paraId="2869E579" w14:textId="77777777" w:rsidTr="00B14938">
        <w:tc>
          <w:tcPr>
            <w:tcW w:w="2583" w:type="dxa"/>
            <w:tcBorders>
              <w:top w:val="nil"/>
              <w:left w:val="nil"/>
              <w:bottom w:val="nil"/>
              <w:right w:val="nil"/>
            </w:tcBorders>
            <w:shd w:val="clear" w:color="auto" w:fill="auto"/>
          </w:tcPr>
          <w:p w14:paraId="18070824" w14:textId="32BAC8CC" w:rsidR="0025368A" w:rsidRPr="006E3E8B" w:rsidRDefault="00294FD2" w:rsidP="00C55F5E">
            <w:pPr>
              <w:rPr>
                <w:rFonts w:ascii="Verdana" w:hAnsi="Verdana"/>
                <w:sz w:val="20"/>
              </w:rPr>
            </w:pPr>
            <w:r w:rsidRPr="006E3E8B">
              <w:rPr>
                <w:rFonts w:ascii="Verdana" w:hAnsi="Verdana"/>
                <w:sz w:val="20"/>
              </w:rPr>
              <w:t>09</w:t>
            </w:r>
            <w:r w:rsidR="0025368A" w:rsidRPr="006E3E8B">
              <w:rPr>
                <w:rFonts w:ascii="Verdana" w:hAnsi="Verdana"/>
                <w:sz w:val="20"/>
              </w:rPr>
              <w:t>h</w:t>
            </w:r>
            <w:r w:rsidR="00133F1C">
              <w:rPr>
                <w:rFonts w:ascii="Verdana" w:hAnsi="Verdana"/>
                <w:sz w:val="20"/>
              </w:rPr>
              <w:t>15</w:t>
            </w:r>
            <w:r w:rsidR="0025368A" w:rsidRPr="006E3E8B">
              <w:rPr>
                <w:rFonts w:ascii="Verdana" w:hAnsi="Verdana"/>
                <w:sz w:val="20"/>
              </w:rPr>
              <w:t xml:space="preserve"> – </w:t>
            </w:r>
            <w:r w:rsidR="00EF276A" w:rsidRPr="006E3E8B">
              <w:rPr>
                <w:rFonts w:ascii="Verdana" w:hAnsi="Verdana"/>
                <w:sz w:val="20"/>
              </w:rPr>
              <w:t>10h</w:t>
            </w:r>
            <w:r w:rsidR="00133F1C">
              <w:rPr>
                <w:rFonts w:ascii="Verdana" w:hAnsi="Verdana"/>
                <w:sz w:val="20"/>
              </w:rPr>
              <w:t>15</w:t>
            </w:r>
          </w:p>
        </w:tc>
        <w:tc>
          <w:tcPr>
            <w:tcW w:w="7765" w:type="dxa"/>
            <w:tcBorders>
              <w:top w:val="nil"/>
              <w:left w:val="nil"/>
              <w:bottom w:val="nil"/>
              <w:right w:val="nil"/>
            </w:tcBorders>
            <w:shd w:val="clear" w:color="auto" w:fill="auto"/>
          </w:tcPr>
          <w:p w14:paraId="3AF194F5" w14:textId="1B63729B" w:rsidR="0025368A" w:rsidRPr="006E3E8B" w:rsidRDefault="0025368A" w:rsidP="00776226">
            <w:pPr>
              <w:spacing w:after="120"/>
              <w:rPr>
                <w:rFonts w:ascii="Verdana" w:hAnsi="Verdana"/>
                <w:b/>
                <w:sz w:val="20"/>
              </w:rPr>
            </w:pPr>
            <w:r w:rsidRPr="006E3E8B">
              <w:rPr>
                <w:rFonts w:ascii="Verdana" w:hAnsi="Verdana"/>
                <w:b/>
                <w:sz w:val="20"/>
              </w:rPr>
              <w:t xml:space="preserve">The </w:t>
            </w:r>
            <w:r w:rsidR="00942231" w:rsidRPr="006E3E8B">
              <w:rPr>
                <w:rFonts w:ascii="Verdana" w:hAnsi="Verdana"/>
                <w:b/>
                <w:sz w:val="20"/>
              </w:rPr>
              <w:t>r</w:t>
            </w:r>
            <w:r w:rsidRPr="006E3E8B">
              <w:rPr>
                <w:rFonts w:ascii="Verdana" w:hAnsi="Verdana"/>
                <w:b/>
                <w:sz w:val="20"/>
              </w:rPr>
              <w:t xml:space="preserve">ole of </w:t>
            </w:r>
            <w:r w:rsidR="00942231" w:rsidRPr="006E3E8B">
              <w:rPr>
                <w:rFonts w:ascii="Verdana" w:hAnsi="Verdana"/>
                <w:b/>
                <w:sz w:val="20"/>
              </w:rPr>
              <w:t>s</w:t>
            </w:r>
            <w:r w:rsidRPr="006E3E8B">
              <w:rPr>
                <w:rFonts w:ascii="Verdana" w:hAnsi="Verdana"/>
                <w:b/>
                <w:sz w:val="20"/>
              </w:rPr>
              <w:t xml:space="preserve">ervices and </w:t>
            </w:r>
            <w:r w:rsidR="00942231" w:rsidRPr="006E3E8B">
              <w:rPr>
                <w:rFonts w:ascii="Verdana" w:hAnsi="Verdana"/>
                <w:b/>
                <w:sz w:val="20"/>
              </w:rPr>
              <w:t>s</w:t>
            </w:r>
            <w:r w:rsidRPr="006E3E8B">
              <w:rPr>
                <w:rFonts w:ascii="Verdana" w:hAnsi="Verdana"/>
                <w:b/>
                <w:sz w:val="20"/>
              </w:rPr>
              <w:t xml:space="preserve">ervices </w:t>
            </w:r>
            <w:r w:rsidR="00942231" w:rsidRPr="006E3E8B">
              <w:rPr>
                <w:rFonts w:ascii="Verdana" w:hAnsi="Verdana"/>
                <w:b/>
                <w:sz w:val="20"/>
              </w:rPr>
              <w:t>t</w:t>
            </w:r>
            <w:r w:rsidRPr="006E3E8B">
              <w:rPr>
                <w:rFonts w:ascii="Verdana" w:hAnsi="Verdana"/>
                <w:b/>
                <w:sz w:val="20"/>
              </w:rPr>
              <w:t>rade</w:t>
            </w:r>
            <w:r w:rsidR="007A7CC0" w:rsidRPr="006E3E8B">
              <w:rPr>
                <w:rFonts w:ascii="Verdana" w:hAnsi="Verdana"/>
                <w:b/>
                <w:sz w:val="20"/>
              </w:rPr>
              <w:t xml:space="preserve"> in fostering economic development</w:t>
            </w:r>
            <w:r w:rsidR="00E23ACA" w:rsidRPr="006E3E8B">
              <w:rPr>
                <w:rFonts w:ascii="Verdana" w:hAnsi="Verdana"/>
                <w:b/>
                <w:sz w:val="20"/>
              </w:rPr>
              <w:t xml:space="preserve"> </w:t>
            </w:r>
          </w:p>
          <w:p w14:paraId="5F49166A" w14:textId="6812F8E3" w:rsidR="0025368A" w:rsidRPr="006E3E8B" w:rsidRDefault="0025368A" w:rsidP="00C55F5E">
            <w:pPr>
              <w:rPr>
                <w:rFonts w:ascii="Verdana" w:hAnsi="Verdana"/>
                <w:sz w:val="20"/>
              </w:rPr>
            </w:pPr>
            <w:r w:rsidRPr="006E3E8B">
              <w:rPr>
                <w:rFonts w:ascii="Verdana" w:hAnsi="Verdana"/>
                <w:sz w:val="20"/>
              </w:rPr>
              <w:t xml:space="preserve">This session </w:t>
            </w:r>
            <w:r w:rsidR="00CA0DB1">
              <w:rPr>
                <w:rFonts w:ascii="Verdana" w:hAnsi="Verdana"/>
                <w:sz w:val="20"/>
              </w:rPr>
              <w:t>introduces participants to the concept of services and trade in services. It</w:t>
            </w:r>
            <w:r w:rsidR="00CA0DB1" w:rsidRPr="006E3E8B">
              <w:rPr>
                <w:rFonts w:ascii="Verdana" w:hAnsi="Verdana"/>
                <w:sz w:val="20"/>
              </w:rPr>
              <w:t xml:space="preserve"> will explore how services are traded, and the reasons </w:t>
            </w:r>
            <w:r w:rsidR="002B57C2">
              <w:rPr>
                <w:rFonts w:ascii="Verdana" w:hAnsi="Verdana"/>
                <w:sz w:val="20"/>
              </w:rPr>
              <w:t>underlying the</w:t>
            </w:r>
            <w:r w:rsidR="00CA0DB1" w:rsidRPr="006E3E8B">
              <w:rPr>
                <w:rFonts w:ascii="Verdana" w:hAnsi="Verdana"/>
                <w:sz w:val="20"/>
              </w:rPr>
              <w:t xml:space="preserve"> General Agreement on Trade in Services (GATS).</w:t>
            </w:r>
            <w:r w:rsidR="00CA0DB1">
              <w:rPr>
                <w:rFonts w:ascii="Verdana" w:hAnsi="Verdana"/>
                <w:sz w:val="20"/>
              </w:rPr>
              <w:t xml:space="preserve"> The discussion </w:t>
            </w:r>
            <w:r w:rsidRPr="006E3E8B">
              <w:rPr>
                <w:rFonts w:ascii="Verdana" w:hAnsi="Verdana"/>
                <w:sz w:val="20"/>
              </w:rPr>
              <w:t xml:space="preserve">will </w:t>
            </w:r>
            <w:r w:rsidR="00584014" w:rsidRPr="006E3E8B">
              <w:rPr>
                <w:rFonts w:ascii="Verdana" w:hAnsi="Verdana"/>
                <w:sz w:val="20"/>
              </w:rPr>
              <w:t>examine</w:t>
            </w:r>
            <w:r w:rsidR="007A7CC0" w:rsidRPr="006E3E8B">
              <w:rPr>
                <w:rFonts w:ascii="Verdana" w:hAnsi="Verdana"/>
                <w:sz w:val="20"/>
              </w:rPr>
              <w:t xml:space="preserve"> </w:t>
            </w:r>
            <w:r w:rsidR="00584014" w:rsidRPr="006E3E8B">
              <w:rPr>
                <w:rFonts w:ascii="Verdana" w:hAnsi="Verdana"/>
                <w:sz w:val="20"/>
              </w:rPr>
              <w:t xml:space="preserve">the pivotal role of essential infrastructural </w:t>
            </w:r>
            <w:r w:rsidRPr="006E3E8B">
              <w:rPr>
                <w:rFonts w:ascii="Verdana" w:hAnsi="Verdana"/>
                <w:sz w:val="20"/>
              </w:rPr>
              <w:t xml:space="preserve">services </w:t>
            </w:r>
            <w:r w:rsidR="00584014" w:rsidRPr="006E3E8B">
              <w:rPr>
                <w:rFonts w:ascii="Verdana" w:hAnsi="Verdana"/>
                <w:sz w:val="20"/>
              </w:rPr>
              <w:t>(such as financial, telecommunications</w:t>
            </w:r>
            <w:r w:rsidR="00776226" w:rsidRPr="006E3E8B">
              <w:rPr>
                <w:rFonts w:ascii="Verdana" w:hAnsi="Verdana"/>
                <w:sz w:val="20"/>
              </w:rPr>
              <w:t>,</w:t>
            </w:r>
            <w:r w:rsidR="00584014" w:rsidRPr="006E3E8B">
              <w:rPr>
                <w:rFonts w:ascii="Verdana" w:hAnsi="Verdana"/>
                <w:sz w:val="20"/>
              </w:rPr>
              <w:t xml:space="preserve"> digital, transport</w:t>
            </w:r>
            <w:r w:rsidR="00776226" w:rsidRPr="006E3E8B">
              <w:rPr>
                <w:rFonts w:ascii="Verdana" w:hAnsi="Verdana"/>
                <w:sz w:val="20"/>
              </w:rPr>
              <w:t>,</w:t>
            </w:r>
            <w:r w:rsidR="00584014" w:rsidRPr="006E3E8B">
              <w:rPr>
                <w:rFonts w:ascii="Verdana" w:hAnsi="Verdana"/>
                <w:sz w:val="20"/>
              </w:rPr>
              <w:t xml:space="preserve"> and logistics</w:t>
            </w:r>
            <w:r w:rsidR="00776226" w:rsidRPr="006E3E8B">
              <w:rPr>
                <w:rFonts w:ascii="Verdana" w:hAnsi="Verdana"/>
                <w:sz w:val="20"/>
              </w:rPr>
              <w:t xml:space="preserve"> services</w:t>
            </w:r>
            <w:r w:rsidR="00584014" w:rsidRPr="006E3E8B">
              <w:rPr>
                <w:rFonts w:ascii="Verdana" w:hAnsi="Verdana"/>
                <w:sz w:val="20"/>
              </w:rPr>
              <w:t xml:space="preserve">) </w:t>
            </w:r>
            <w:r w:rsidR="00776226" w:rsidRPr="006E3E8B">
              <w:rPr>
                <w:rFonts w:ascii="Verdana" w:hAnsi="Verdana"/>
                <w:sz w:val="20"/>
              </w:rPr>
              <w:t xml:space="preserve">in supporting </w:t>
            </w:r>
            <w:r w:rsidR="007A7CC0" w:rsidRPr="006E3E8B">
              <w:rPr>
                <w:rFonts w:ascii="Verdana" w:hAnsi="Verdana"/>
                <w:sz w:val="20"/>
              </w:rPr>
              <w:t>modern economies</w:t>
            </w:r>
            <w:r w:rsidR="00584014" w:rsidRPr="006E3E8B">
              <w:rPr>
                <w:rFonts w:ascii="Verdana" w:hAnsi="Verdana"/>
                <w:sz w:val="20"/>
              </w:rPr>
              <w:t>, export diversification</w:t>
            </w:r>
            <w:r w:rsidR="00776226" w:rsidRPr="006E3E8B">
              <w:rPr>
                <w:rFonts w:ascii="Verdana" w:hAnsi="Verdana"/>
                <w:sz w:val="20"/>
              </w:rPr>
              <w:t>,</w:t>
            </w:r>
            <w:r w:rsidR="00584014" w:rsidRPr="006E3E8B">
              <w:rPr>
                <w:rFonts w:ascii="Verdana" w:hAnsi="Verdana"/>
                <w:sz w:val="20"/>
              </w:rPr>
              <w:t xml:space="preserve"> and integration into global value chains</w:t>
            </w:r>
            <w:r w:rsidRPr="006E3E8B">
              <w:rPr>
                <w:rFonts w:ascii="Verdana" w:hAnsi="Verdana"/>
                <w:sz w:val="20"/>
              </w:rPr>
              <w:t xml:space="preserve">. </w:t>
            </w:r>
          </w:p>
          <w:p w14:paraId="0ED7D713" w14:textId="77777777" w:rsidR="0025368A" w:rsidRPr="006E3E8B" w:rsidRDefault="0025368A" w:rsidP="00C55F5E">
            <w:pPr>
              <w:rPr>
                <w:rFonts w:ascii="Verdana" w:hAnsi="Verdana"/>
                <w:b/>
                <w:sz w:val="20"/>
              </w:rPr>
            </w:pPr>
          </w:p>
          <w:p w14:paraId="57B0E114" w14:textId="0DF51550" w:rsidR="00665675" w:rsidRPr="006E3E8B" w:rsidRDefault="00665675" w:rsidP="00665675">
            <w:pPr>
              <w:rPr>
                <w:rFonts w:ascii="Verdana" w:hAnsi="Verdana"/>
                <w:bCs/>
                <w:sz w:val="20"/>
              </w:rPr>
            </w:pPr>
            <w:r w:rsidRPr="006E3E8B">
              <w:rPr>
                <w:rFonts w:ascii="Verdana" w:hAnsi="Verdana"/>
                <w:bCs/>
                <w:sz w:val="20"/>
              </w:rPr>
              <w:t xml:space="preserve">This session will also introduce the new </w:t>
            </w:r>
            <w:r w:rsidRPr="006E3E8B">
              <w:rPr>
                <w:rFonts w:ascii="Verdana" w:hAnsi="Verdana"/>
                <w:b/>
                <w:sz w:val="20"/>
              </w:rPr>
              <w:t>WTO-World Bank initiative on</w:t>
            </w:r>
            <w:r w:rsidR="00952597" w:rsidRPr="006E3E8B">
              <w:rPr>
                <w:rFonts w:ascii="Verdana" w:hAnsi="Verdana"/>
                <w:b/>
                <w:sz w:val="20"/>
              </w:rPr>
              <w:t xml:space="preserve"> Trade in</w:t>
            </w:r>
            <w:r w:rsidRPr="006E3E8B">
              <w:rPr>
                <w:rFonts w:ascii="Verdana" w:hAnsi="Verdana"/>
                <w:b/>
                <w:sz w:val="20"/>
              </w:rPr>
              <w:t xml:space="preserve"> Services for Development (T</w:t>
            </w:r>
            <w:r w:rsidR="00952597" w:rsidRPr="006E3E8B">
              <w:rPr>
                <w:rFonts w:ascii="Verdana" w:hAnsi="Verdana"/>
                <w:b/>
                <w:sz w:val="20"/>
              </w:rPr>
              <w:t>S</w:t>
            </w:r>
            <w:r w:rsidRPr="006E3E8B">
              <w:rPr>
                <w:rFonts w:ascii="Verdana" w:hAnsi="Verdana"/>
                <w:b/>
                <w:sz w:val="20"/>
              </w:rPr>
              <w:t>4D)</w:t>
            </w:r>
            <w:r w:rsidRPr="006E3E8B">
              <w:rPr>
                <w:rFonts w:ascii="Verdana" w:hAnsi="Verdana"/>
                <w:bCs/>
                <w:sz w:val="20"/>
              </w:rPr>
              <w:t>,</w:t>
            </w:r>
            <w:r w:rsidRPr="006E3E8B">
              <w:rPr>
                <w:rFonts w:ascii="Verdana" w:hAnsi="Verdana"/>
                <w:b/>
                <w:sz w:val="20"/>
              </w:rPr>
              <w:t xml:space="preserve"> </w:t>
            </w:r>
            <w:r w:rsidRPr="006E3E8B">
              <w:rPr>
                <w:rFonts w:ascii="Verdana" w:hAnsi="Verdana"/>
                <w:bCs/>
                <w:sz w:val="20"/>
              </w:rPr>
              <w:t xml:space="preserve">including objectives, and </w:t>
            </w:r>
            <w:r w:rsidR="00952597" w:rsidRPr="006E3E8B">
              <w:rPr>
                <w:rFonts w:ascii="Verdana" w:hAnsi="Verdana"/>
                <w:bCs/>
                <w:sz w:val="20"/>
              </w:rPr>
              <w:t xml:space="preserve">initial </w:t>
            </w:r>
            <w:r w:rsidR="00835F43" w:rsidRPr="006E3E8B">
              <w:rPr>
                <w:rFonts w:ascii="Verdana" w:hAnsi="Verdana"/>
                <w:bCs/>
                <w:sz w:val="20"/>
              </w:rPr>
              <w:t xml:space="preserve">work </w:t>
            </w:r>
            <w:r w:rsidR="00952597" w:rsidRPr="006E3E8B">
              <w:rPr>
                <w:rFonts w:ascii="Verdana" w:hAnsi="Verdana"/>
                <w:bCs/>
                <w:sz w:val="20"/>
              </w:rPr>
              <w:t>program of assistance for developing countries</w:t>
            </w:r>
            <w:r w:rsidRPr="006E3E8B">
              <w:rPr>
                <w:rFonts w:ascii="Verdana" w:hAnsi="Verdana"/>
                <w:bCs/>
                <w:sz w:val="20"/>
              </w:rPr>
              <w:t xml:space="preserve">.  </w:t>
            </w:r>
          </w:p>
          <w:p w14:paraId="60D00C04" w14:textId="37B7A59E" w:rsidR="00665675" w:rsidRPr="006E3E8B" w:rsidRDefault="00665675" w:rsidP="00C55F5E">
            <w:pPr>
              <w:rPr>
                <w:rFonts w:ascii="Verdana" w:hAnsi="Verdana"/>
                <w:b/>
                <w:sz w:val="20"/>
              </w:rPr>
            </w:pPr>
          </w:p>
        </w:tc>
      </w:tr>
      <w:tr w:rsidR="00386E76" w:rsidRPr="006E3E8B" w14:paraId="06DAE98C" w14:textId="77777777" w:rsidTr="00B14938">
        <w:tc>
          <w:tcPr>
            <w:tcW w:w="2583" w:type="dxa"/>
            <w:tcBorders>
              <w:top w:val="nil"/>
              <w:left w:val="nil"/>
              <w:bottom w:val="nil"/>
              <w:right w:val="nil"/>
            </w:tcBorders>
            <w:shd w:val="clear" w:color="auto" w:fill="auto"/>
          </w:tcPr>
          <w:p w14:paraId="12693171" w14:textId="28721B7A" w:rsidR="00386E76" w:rsidRPr="006E3E8B" w:rsidRDefault="00386E76" w:rsidP="00386E76">
            <w:pPr>
              <w:rPr>
                <w:rFonts w:ascii="Verdana" w:hAnsi="Verdana"/>
                <w:sz w:val="20"/>
              </w:rPr>
            </w:pPr>
            <w:r w:rsidRPr="006E3E8B">
              <w:rPr>
                <w:rFonts w:ascii="Verdana" w:hAnsi="Verdana"/>
                <w:sz w:val="20"/>
              </w:rPr>
              <w:t>10h</w:t>
            </w:r>
            <w:r w:rsidR="00133F1C">
              <w:rPr>
                <w:rFonts w:ascii="Verdana" w:hAnsi="Verdana"/>
                <w:sz w:val="20"/>
              </w:rPr>
              <w:t>15</w:t>
            </w:r>
            <w:r w:rsidRPr="006E3E8B">
              <w:rPr>
                <w:rFonts w:ascii="Verdana" w:hAnsi="Verdana"/>
                <w:sz w:val="20"/>
              </w:rPr>
              <w:t xml:space="preserve"> – </w:t>
            </w:r>
            <w:r w:rsidR="00133F1C">
              <w:rPr>
                <w:rFonts w:ascii="Verdana" w:hAnsi="Verdana"/>
                <w:sz w:val="20"/>
              </w:rPr>
              <w:t>11</w:t>
            </w:r>
            <w:r w:rsidRPr="006E3E8B">
              <w:rPr>
                <w:rFonts w:ascii="Verdana" w:hAnsi="Verdana"/>
                <w:sz w:val="20"/>
              </w:rPr>
              <w:t xml:space="preserve">h30  </w:t>
            </w:r>
          </w:p>
        </w:tc>
        <w:tc>
          <w:tcPr>
            <w:tcW w:w="7765" w:type="dxa"/>
            <w:tcBorders>
              <w:top w:val="nil"/>
              <w:left w:val="nil"/>
              <w:bottom w:val="nil"/>
              <w:right w:val="nil"/>
            </w:tcBorders>
            <w:shd w:val="clear" w:color="auto" w:fill="auto"/>
          </w:tcPr>
          <w:p w14:paraId="689A69D4" w14:textId="214AD2B7" w:rsidR="00386E76" w:rsidRPr="006E3E8B" w:rsidRDefault="00386E76" w:rsidP="00942231">
            <w:pPr>
              <w:tabs>
                <w:tab w:val="left" w:pos="2700"/>
                <w:tab w:val="left" w:pos="3600"/>
              </w:tabs>
              <w:spacing w:after="120"/>
              <w:ind w:left="9" w:hanging="9"/>
              <w:rPr>
                <w:rFonts w:ascii="Verdana" w:hAnsi="Verdana"/>
                <w:b/>
                <w:bCs/>
                <w:sz w:val="20"/>
              </w:rPr>
            </w:pPr>
            <w:r w:rsidRPr="006E3E8B">
              <w:rPr>
                <w:rFonts w:ascii="Verdana" w:hAnsi="Verdana"/>
                <w:b/>
                <w:bCs/>
                <w:sz w:val="20"/>
              </w:rPr>
              <w:t>Key features</w:t>
            </w:r>
            <w:r w:rsidR="00894145">
              <w:rPr>
                <w:rFonts w:ascii="Verdana" w:hAnsi="Verdana"/>
                <w:b/>
                <w:bCs/>
                <w:sz w:val="20"/>
              </w:rPr>
              <w:t xml:space="preserve"> and obligations</w:t>
            </w:r>
            <w:r w:rsidRPr="006E3E8B">
              <w:rPr>
                <w:rFonts w:ascii="Verdana" w:hAnsi="Verdana"/>
                <w:b/>
                <w:bCs/>
                <w:sz w:val="20"/>
              </w:rPr>
              <w:t xml:space="preserve"> of the GATS, and </w:t>
            </w:r>
            <w:r w:rsidR="00ED37D2">
              <w:rPr>
                <w:rFonts w:ascii="Verdana" w:hAnsi="Verdana"/>
                <w:b/>
                <w:bCs/>
                <w:sz w:val="20"/>
              </w:rPr>
              <w:t xml:space="preserve">schedules of </w:t>
            </w:r>
            <w:r w:rsidRPr="006E3E8B">
              <w:rPr>
                <w:rFonts w:ascii="Verdana" w:hAnsi="Verdana"/>
                <w:b/>
                <w:bCs/>
                <w:sz w:val="20"/>
              </w:rPr>
              <w:t xml:space="preserve">specific commitments </w:t>
            </w:r>
          </w:p>
        </w:tc>
      </w:tr>
    </w:tbl>
    <w:p w14:paraId="0CC9B4D7" w14:textId="77777777" w:rsidR="00B14938" w:rsidRPr="006E3E8B" w:rsidRDefault="00B14938" w:rsidP="00436B8F">
      <w:pPr>
        <w:rPr>
          <w:rFonts w:ascii="Verdana" w:hAnsi="Verdana"/>
          <w:b/>
          <w:sz w:val="20"/>
          <w:u w:val="single"/>
        </w:rPr>
      </w:pPr>
    </w:p>
    <w:p w14:paraId="19BFE740" w14:textId="15EB4305" w:rsidR="00436B8F" w:rsidRPr="006E3E8B" w:rsidRDefault="00926985" w:rsidP="00B14938">
      <w:pPr>
        <w:shd w:val="clear" w:color="auto" w:fill="C5E0B3" w:themeFill="accent6" w:themeFillTint="66"/>
        <w:spacing w:after="240"/>
        <w:rPr>
          <w:rFonts w:ascii="Verdana" w:hAnsi="Verdana"/>
          <w:b/>
          <w:sz w:val="20"/>
        </w:rPr>
      </w:pPr>
      <w:r>
        <w:rPr>
          <w:rFonts w:ascii="Verdana" w:hAnsi="Verdana"/>
          <w:b/>
          <w:sz w:val="20"/>
        </w:rPr>
        <w:t xml:space="preserve">Wednesday, </w:t>
      </w:r>
      <w:r w:rsidR="002B7165">
        <w:rPr>
          <w:rFonts w:ascii="Verdana" w:hAnsi="Verdana"/>
          <w:b/>
          <w:sz w:val="20"/>
        </w:rPr>
        <w:t>24</w:t>
      </w:r>
      <w:r>
        <w:rPr>
          <w:rFonts w:ascii="Verdana" w:hAnsi="Verdana"/>
          <w:b/>
          <w:sz w:val="20"/>
        </w:rPr>
        <w:t xml:space="preserve"> Ju</w:t>
      </w:r>
      <w:r w:rsidR="002B7165">
        <w:rPr>
          <w:rFonts w:ascii="Verdana" w:hAnsi="Verdana"/>
          <w:b/>
          <w:sz w:val="20"/>
        </w:rPr>
        <w:t>ly</w:t>
      </w:r>
      <w:r>
        <w:rPr>
          <w:rFonts w:ascii="Verdana" w:hAnsi="Verdana"/>
          <w:b/>
          <w:sz w:val="20"/>
        </w:rPr>
        <w:t xml:space="preserve"> 2025</w:t>
      </w:r>
    </w:p>
    <w:tbl>
      <w:tblPr>
        <w:tblW w:w="102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94"/>
        <w:gridCol w:w="7612"/>
      </w:tblGrid>
      <w:tr w:rsidR="00436B8F" w:rsidRPr="006E3E8B" w14:paraId="74E45A33" w14:textId="77777777" w:rsidTr="00521FC2">
        <w:trPr>
          <w:trHeight w:val="489"/>
        </w:trPr>
        <w:tc>
          <w:tcPr>
            <w:tcW w:w="2594" w:type="dxa"/>
            <w:tcBorders>
              <w:top w:val="nil"/>
              <w:left w:val="nil"/>
              <w:bottom w:val="nil"/>
              <w:right w:val="nil"/>
            </w:tcBorders>
            <w:shd w:val="clear" w:color="auto" w:fill="auto"/>
          </w:tcPr>
          <w:p w14:paraId="377E7E8C" w14:textId="610F9EE2" w:rsidR="00436B8F" w:rsidRPr="006E3E8B" w:rsidRDefault="000316D8" w:rsidP="0074127F">
            <w:pPr>
              <w:spacing w:after="120"/>
              <w:rPr>
                <w:rFonts w:ascii="Verdana" w:hAnsi="Verdana"/>
                <w:sz w:val="20"/>
              </w:rPr>
            </w:pPr>
            <w:r w:rsidRPr="006E3E8B">
              <w:rPr>
                <w:rFonts w:ascii="Verdana" w:hAnsi="Verdana"/>
                <w:bCs/>
                <w:sz w:val="20"/>
              </w:rPr>
              <w:t>9h</w:t>
            </w:r>
            <w:r w:rsidR="00B51EB8" w:rsidRPr="006E3E8B">
              <w:rPr>
                <w:rFonts w:ascii="Verdana" w:hAnsi="Verdana"/>
                <w:bCs/>
                <w:sz w:val="20"/>
              </w:rPr>
              <w:t>0</w:t>
            </w:r>
            <w:r w:rsidRPr="006E3E8B">
              <w:rPr>
                <w:rFonts w:ascii="Verdana" w:hAnsi="Verdana"/>
                <w:bCs/>
                <w:sz w:val="20"/>
              </w:rPr>
              <w:t xml:space="preserve">0 </w:t>
            </w:r>
            <w:r w:rsidR="00436B8F" w:rsidRPr="006E3E8B">
              <w:rPr>
                <w:rFonts w:ascii="Verdana" w:hAnsi="Verdana"/>
                <w:sz w:val="20"/>
              </w:rPr>
              <w:t>–</w:t>
            </w:r>
            <w:r w:rsidR="00436B8F" w:rsidRPr="006E3E8B">
              <w:rPr>
                <w:rFonts w:ascii="Verdana" w:hAnsi="Verdana"/>
                <w:bCs/>
                <w:sz w:val="20"/>
              </w:rPr>
              <w:t xml:space="preserve"> </w:t>
            </w:r>
            <w:r w:rsidR="00133F1C">
              <w:rPr>
                <w:rFonts w:ascii="Verdana" w:hAnsi="Verdana"/>
                <w:bCs/>
                <w:sz w:val="20"/>
              </w:rPr>
              <w:t>10h00</w:t>
            </w:r>
          </w:p>
        </w:tc>
        <w:tc>
          <w:tcPr>
            <w:tcW w:w="7612" w:type="dxa"/>
            <w:tcBorders>
              <w:top w:val="nil"/>
              <w:left w:val="nil"/>
              <w:bottom w:val="nil"/>
              <w:right w:val="nil"/>
            </w:tcBorders>
            <w:shd w:val="clear" w:color="auto" w:fill="auto"/>
          </w:tcPr>
          <w:p w14:paraId="6FC85EA9" w14:textId="0B784CFC" w:rsidR="006E3E8B" w:rsidRPr="006E3E8B" w:rsidRDefault="00133F1C" w:rsidP="00B14938">
            <w:pPr>
              <w:tabs>
                <w:tab w:val="left" w:pos="2700"/>
                <w:tab w:val="left" w:pos="3600"/>
              </w:tabs>
              <w:spacing w:after="120"/>
              <w:ind w:left="9" w:hanging="9"/>
              <w:rPr>
                <w:rFonts w:ascii="Verdana" w:hAnsi="Verdana"/>
                <w:b/>
                <w:bCs/>
                <w:sz w:val="20"/>
              </w:rPr>
            </w:pPr>
            <w:r w:rsidRPr="006E3E8B">
              <w:rPr>
                <w:rFonts w:ascii="Verdana" w:hAnsi="Verdana"/>
                <w:b/>
                <w:bCs/>
                <w:sz w:val="20"/>
              </w:rPr>
              <w:t>Key features</w:t>
            </w:r>
            <w:r>
              <w:rPr>
                <w:rFonts w:ascii="Verdana" w:hAnsi="Verdana"/>
                <w:b/>
                <w:bCs/>
                <w:sz w:val="20"/>
              </w:rPr>
              <w:t xml:space="preserve"> and obligations</w:t>
            </w:r>
            <w:r w:rsidRPr="006E3E8B">
              <w:rPr>
                <w:rFonts w:ascii="Verdana" w:hAnsi="Verdana"/>
                <w:b/>
                <w:bCs/>
                <w:sz w:val="20"/>
              </w:rPr>
              <w:t xml:space="preserve"> of the GATS, and </w:t>
            </w:r>
            <w:r>
              <w:rPr>
                <w:rFonts w:ascii="Verdana" w:hAnsi="Verdana"/>
                <w:b/>
                <w:bCs/>
                <w:sz w:val="20"/>
              </w:rPr>
              <w:t xml:space="preserve">schedules of </w:t>
            </w:r>
            <w:r w:rsidRPr="006E3E8B">
              <w:rPr>
                <w:rFonts w:ascii="Verdana" w:hAnsi="Verdana"/>
                <w:b/>
                <w:bCs/>
                <w:sz w:val="20"/>
              </w:rPr>
              <w:t xml:space="preserve">specific commitments </w:t>
            </w:r>
            <w:r>
              <w:rPr>
                <w:rFonts w:ascii="Verdana" w:hAnsi="Verdana"/>
                <w:b/>
                <w:bCs/>
                <w:sz w:val="20"/>
              </w:rPr>
              <w:t>(continued)</w:t>
            </w:r>
          </w:p>
        </w:tc>
      </w:tr>
      <w:tr w:rsidR="006E3E8B" w:rsidRPr="006E3E8B" w14:paraId="4FEFC66C" w14:textId="77777777" w:rsidTr="00521FC2">
        <w:trPr>
          <w:trHeight w:val="250"/>
        </w:trPr>
        <w:tc>
          <w:tcPr>
            <w:tcW w:w="2594" w:type="dxa"/>
            <w:tcBorders>
              <w:top w:val="nil"/>
              <w:left w:val="nil"/>
              <w:bottom w:val="nil"/>
              <w:right w:val="nil"/>
            </w:tcBorders>
            <w:shd w:val="clear" w:color="auto" w:fill="auto"/>
          </w:tcPr>
          <w:p w14:paraId="1705E11F" w14:textId="1870160F" w:rsidR="006E3E8B" w:rsidRPr="00ED37D2" w:rsidRDefault="00133F1C" w:rsidP="0074127F">
            <w:pPr>
              <w:spacing w:after="120"/>
              <w:rPr>
                <w:rFonts w:ascii="Verdana" w:hAnsi="Verdana"/>
                <w:bCs/>
                <w:sz w:val="20"/>
                <w:highlight w:val="yellow"/>
              </w:rPr>
            </w:pPr>
            <w:r>
              <w:rPr>
                <w:rFonts w:ascii="Verdana" w:hAnsi="Verdana"/>
                <w:bCs/>
                <w:sz w:val="20"/>
              </w:rPr>
              <w:t>10</w:t>
            </w:r>
            <w:r w:rsidR="003D34DC">
              <w:rPr>
                <w:rFonts w:ascii="Verdana" w:hAnsi="Verdana"/>
                <w:bCs/>
                <w:sz w:val="20"/>
              </w:rPr>
              <w:t>h</w:t>
            </w:r>
            <w:r>
              <w:rPr>
                <w:rFonts w:ascii="Verdana" w:hAnsi="Verdana"/>
                <w:bCs/>
                <w:sz w:val="20"/>
              </w:rPr>
              <w:t>00</w:t>
            </w:r>
            <w:r w:rsidR="006E3E8B" w:rsidRPr="007F16CC">
              <w:rPr>
                <w:rFonts w:ascii="Verdana" w:hAnsi="Verdana"/>
                <w:bCs/>
                <w:sz w:val="20"/>
              </w:rPr>
              <w:t xml:space="preserve"> – 1</w:t>
            </w:r>
            <w:r w:rsidR="00521FC2">
              <w:rPr>
                <w:rFonts w:ascii="Verdana" w:hAnsi="Verdana"/>
                <w:bCs/>
                <w:sz w:val="20"/>
              </w:rPr>
              <w:t>1</w:t>
            </w:r>
            <w:r w:rsidR="006E3E8B" w:rsidRPr="007F16CC">
              <w:rPr>
                <w:rFonts w:ascii="Verdana" w:hAnsi="Verdana"/>
                <w:bCs/>
                <w:sz w:val="20"/>
              </w:rPr>
              <w:t>h</w:t>
            </w:r>
            <w:r w:rsidR="00521FC2">
              <w:rPr>
                <w:rFonts w:ascii="Verdana" w:hAnsi="Verdana"/>
                <w:bCs/>
                <w:sz w:val="20"/>
              </w:rPr>
              <w:t>1</w:t>
            </w:r>
            <w:r w:rsidR="003D34DC">
              <w:rPr>
                <w:rFonts w:ascii="Verdana" w:hAnsi="Verdana"/>
                <w:bCs/>
                <w:sz w:val="20"/>
              </w:rPr>
              <w:t>5</w:t>
            </w:r>
          </w:p>
        </w:tc>
        <w:tc>
          <w:tcPr>
            <w:tcW w:w="7612" w:type="dxa"/>
            <w:tcBorders>
              <w:top w:val="nil"/>
              <w:left w:val="nil"/>
              <w:bottom w:val="nil"/>
              <w:right w:val="nil"/>
            </w:tcBorders>
            <w:shd w:val="clear" w:color="auto" w:fill="auto"/>
          </w:tcPr>
          <w:p w14:paraId="579A27A5" w14:textId="71AD1D05" w:rsidR="006E3E8B" w:rsidRPr="006E3E8B" w:rsidRDefault="00133F1C" w:rsidP="00133F1C">
            <w:pPr>
              <w:rPr>
                <w:rFonts w:ascii="Verdana" w:hAnsi="Verdana"/>
                <w:b/>
                <w:bCs/>
                <w:sz w:val="20"/>
              </w:rPr>
            </w:pPr>
            <w:r>
              <w:rPr>
                <w:rFonts w:ascii="Verdana" w:hAnsi="Verdana"/>
                <w:b/>
                <w:sz w:val="20"/>
              </w:rPr>
              <w:t>Fo</w:t>
            </w:r>
            <w:r w:rsidR="00B14938">
              <w:rPr>
                <w:rFonts w:ascii="Verdana" w:hAnsi="Verdana"/>
                <w:b/>
                <w:sz w:val="20"/>
              </w:rPr>
              <w:t>c</w:t>
            </w:r>
            <w:r>
              <w:rPr>
                <w:rFonts w:ascii="Verdana" w:hAnsi="Verdana"/>
                <w:b/>
                <w:sz w:val="20"/>
              </w:rPr>
              <w:t xml:space="preserve">us on Jamaica's schedule of specific commitments </w:t>
            </w:r>
            <w:r w:rsidR="00521FC2">
              <w:rPr>
                <w:rFonts w:ascii="Verdana" w:hAnsi="Verdana"/>
                <w:b/>
                <w:sz w:val="20"/>
              </w:rPr>
              <w:t>&amp; exercise</w:t>
            </w:r>
          </w:p>
        </w:tc>
      </w:tr>
      <w:tr w:rsidR="00133F1C" w:rsidRPr="006E3E8B" w14:paraId="59019797" w14:textId="77777777" w:rsidTr="00521FC2">
        <w:tc>
          <w:tcPr>
            <w:tcW w:w="2594" w:type="dxa"/>
            <w:tcBorders>
              <w:top w:val="nil"/>
              <w:left w:val="nil"/>
              <w:bottom w:val="nil"/>
              <w:right w:val="nil"/>
            </w:tcBorders>
            <w:shd w:val="clear" w:color="auto" w:fill="auto"/>
          </w:tcPr>
          <w:p w14:paraId="485C179E" w14:textId="68030349" w:rsidR="00133F1C" w:rsidRPr="006E3E8B" w:rsidRDefault="00133F1C" w:rsidP="00E07494">
            <w:pPr>
              <w:rPr>
                <w:rFonts w:ascii="Verdana" w:hAnsi="Verdana"/>
                <w:iCs/>
                <w:sz w:val="20"/>
              </w:rPr>
            </w:pPr>
            <w:r>
              <w:rPr>
                <w:rFonts w:ascii="Verdana" w:hAnsi="Verdana"/>
                <w:iCs/>
                <w:sz w:val="20"/>
              </w:rPr>
              <w:t>11h15-11h30</w:t>
            </w:r>
          </w:p>
        </w:tc>
        <w:tc>
          <w:tcPr>
            <w:tcW w:w="7612" w:type="dxa"/>
            <w:tcBorders>
              <w:top w:val="nil"/>
              <w:left w:val="nil"/>
              <w:bottom w:val="nil"/>
              <w:right w:val="nil"/>
            </w:tcBorders>
            <w:shd w:val="clear" w:color="auto" w:fill="auto"/>
          </w:tcPr>
          <w:p w14:paraId="1002DDBF" w14:textId="011A2B45" w:rsidR="00133F1C" w:rsidRDefault="00133F1C" w:rsidP="00D34928">
            <w:pPr>
              <w:tabs>
                <w:tab w:val="left" w:pos="2700"/>
                <w:tab w:val="left" w:pos="3600"/>
              </w:tabs>
              <w:spacing w:after="240"/>
              <w:rPr>
                <w:rFonts w:ascii="Verdana" w:hAnsi="Verdana"/>
                <w:b/>
                <w:bCs/>
                <w:sz w:val="20"/>
              </w:rPr>
            </w:pPr>
            <w:r w:rsidRPr="006E3E8B">
              <w:rPr>
                <w:rFonts w:ascii="Verdana" w:hAnsi="Verdana"/>
                <w:b/>
                <w:bCs/>
                <w:sz w:val="20"/>
              </w:rPr>
              <w:t>Closing Session</w:t>
            </w:r>
          </w:p>
        </w:tc>
      </w:tr>
    </w:tbl>
    <w:p w14:paraId="4900C392" w14:textId="481B179F" w:rsidR="004E0768" w:rsidRPr="00B14938" w:rsidRDefault="00B14938" w:rsidP="00B14938">
      <w:pPr>
        <w:jc w:val="center"/>
        <w:rPr>
          <w:rFonts w:ascii="Verdana" w:hAnsi="Verdana"/>
          <w:b/>
          <w:sz w:val="20"/>
          <w:lang w:val="en-GB"/>
        </w:rPr>
      </w:pPr>
      <w:r w:rsidRPr="006E3E8B">
        <w:rPr>
          <w:rFonts w:ascii="Verdana" w:hAnsi="Verdana"/>
          <w:sz w:val="20"/>
        </w:rPr>
        <w:t>____________</w:t>
      </w:r>
    </w:p>
    <w:sectPr w:rsidR="004E0768" w:rsidRPr="00B14938" w:rsidSect="00B14938">
      <w:headerReference w:type="default" r:id="rId8"/>
      <w:footerReference w:type="default" r:id="rId9"/>
      <w:headerReference w:type="first" r:id="rId10"/>
      <w:footerReference w:type="first" r:id="rId11"/>
      <w:pgSz w:w="11906" w:h="16838"/>
      <w:pgMar w:top="851" w:right="851" w:bottom="851" w:left="851" w:header="72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6748" w14:textId="77777777" w:rsidR="001F7983" w:rsidRPr="006E3E8B" w:rsidRDefault="001F7983">
      <w:r w:rsidRPr="006E3E8B">
        <w:separator/>
      </w:r>
    </w:p>
  </w:endnote>
  <w:endnote w:type="continuationSeparator" w:id="0">
    <w:p w14:paraId="22C931E9" w14:textId="77777777" w:rsidR="001F7983" w:rsidRPr="006E3E8B" w:rsidRDefault="001F7983">
      <w:r w:rsidRPr="006E3E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6"/>
      </w:rPr>
      <w:id w:val="-405229330"/>
      <w:docPartObj>
        <w:docPartGallery w:val="Page Numbers (Bottom of Page)"/>
        <w:docPartUnique/>
      </w:docPartObj>
    </w:sdtPr>
    <w:sdtEndPr>
      <w:rPr>
        <w:sz w:val="14"/>
        <w:szCs w:val="12"/>
      </w:rPr>
    </w:sdtEndPr>
    <w:sdtContent>
      <w:p w14:paraId="3A6B7789" w14:textId="1C048E23" w:rsidR="008A04AF" w:rsidRPr="006E3E8B" w:rsidRDefault="008A04AF">
        <w:pPr>
          <w:pStyle w:val="Footer"/>
          <w:jc w:val="center"/>
          <w:rPr>
            <w:rFonts w:ascii="Verdana" w:hAnsi="Verdana"/>
            <w:sz w:val="18"/>
            <w:szCs w:val="16"/>
          </w:rPr>
        </w:pPr>
        <w:r w:rsidRPr="006E3E8B">
          <w:rPr>
            <w:rFonts w:ascii="Verdana" w:hAnsi="Verdana"/>
            <w:sz w:val="18"/>
            <w:szCs w:val="16"/>
          </w:rPr>
          <w:fldChar w:fldCharType="begin"/>
        </w:r>
        <w:r w:rsidRPr="006E3E8B">
          <w:rPr>
            <w:rFonts w:ascii="Verdana" w:hAnsi="Verdana"/>
            <w:sz w:val="18"/>
            <w:szCs w:val="16"/>
          </w:rPr>
          <w:instrText xml:space="preserve"> PAGE   \* MERGEFORMAT </w:instrText>
        </w:r>
        <w:r w:rsidRPr="006E3E8B">
          <w:rPr>
            <w:rFonts w:ascii="Verdana" w:hAnsi="Verdana"/>
            <w:sz w:val="18"/>
            <w:szCs w:val="16"/>
          </w:rPr>
          <w:fldChar w:fldCharType="separate"/>
        </w:r>
        <w:r w:rsidRPr="006E3E8B">
          <w:rPr>
            <w:rFonts w:ascii="Verdana" w:hAnsi="Verdana"/>
            <w:sz w:val="18"/>
            <w:szCs w:val="16"/>
          </w:rPr>
          <w:t>2</w:t>
        </w:r>
        <w:r w:rsidRPr="006E3E8B">
          <w:rPr>
            <w:rFonts w:ascii="Verdana" w:hAnsi="Verdana"/>
            <w:sz w:val="18"/>
            <w:szCs w:val="16"/>
          </w:rPr>
          <w:fldChar w:fldCharType="end"/>
        </w:r>
      </w:p>
    </w:sdtContent>
  </w:sdt>
  <w:p w14:paraId="09143BB0" w14:textId="77777777" w:rsidR="00E93C74" w:rsidRPr="006E3E8B" w:rsidRDefault="00E9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655A" w14:textId="77777777" w:rsidR="00DB081B" w:rsidRPr="006E3E8B" w:rsidRDefault="00DB081B" w:rsidP="003D45FE">
    <w:pPr>
      <w:pStyle w:val="Footer"/>
      <w:jc w:val="right"/>
    </w:pPr>
    <w:r w:rsidRPr="006E3E8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585A6" w14:textId="77777777" w:rsidR="001F7983" w:rsidRPr="006E3E8B" w:rsidRDefault="001F7983">
      <w:r w:rsidRPr="006E3E8B">
        <w:separator/>
      </w:r>
    </w:p>
  </w:footnote>
  <w:footnote w:type="continuationSeparator" w:id="0">
    <w:p w14:paraId="1A1C4677" w14:textId="77777777" w:rsidR="001F7983" w:rsidRPr="006E3E8B" w:rsidRDefault="001F7983">
      <w:r w:rsidRPr="006E3E8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FED1" w14:textId="0B1229EA" w:rsidR="00F75732" w:rsidRPr="006E3E8B" w:rsidRDefault="00F75732">
    <w:pPr>
      <w:pStyle w:val="Header"/>
      <w:rPr>
        <w:rFonts w:ascii="Verdana" w:hAnsi="Verdana"/>
        <w:sz w:val="18"/>
        <w:szCs w:val="16"/>
      </w:rPr>
    </w:pPr>
    <w:r w:rsidRPr="006E3E8B">
      <w:rPr>
        <w:rFonts w:ascii="Verdana" w:hAnsi="Verdana"/>
        <w:sz w:val="18"/>
        <w:szCs w:val="16"/>
      </w:rPr>
      <w:t xml:space="preserve">Trade in Services and Investment Division </w:t>
    </w:r>
  </w:p>
  <w:p w14:paraId="40E844F0" w14:textId="235F718A" w:rsidR="00F75732" w:rsidRPr="006E3E8B" w:rsidRDefault="00133F1C">
    <w:pPr>
      <w:pStyle w:val="Header"/>
      <w:rPr>
        <w:rFonts w:ascii="Verdana" w:hAnsi="Verdana"/>
        <w:sz w:val="18"/>
        <w:szCs w:val="16"/>
      </w:rPr>
    </w:pPr>
    <w:r>
      <w:rPr>
        <w:rFonts w:ascii="Verdana" w:hAnsi="Verdana"/>
        <w:sz w:val="18"/>
        <w:szCs w:val="16"/>
      </w:rPr>
      <w:t>5 May</w:t>
    </w:r>
    <w:r w:rsidR="00F75732" w:rsidRPr="006E3E8B">
      <w:rPr>
        <w:rFonts w:ascii="Verdana" w:hAnsi="Verdana"/>
        <w:sz w:val="18"/>
        <w:szCs w:val="16"/>
      </w:rPr>
      <w:t xml:space="preserve"> 2025</w:t>
    </w:r>
  </w:p>
  <w:p w14:paraId="47AFDBE8" w14:textId="77777777" w:rsidR="00DB081B" w:rsidRPr="006E3E8B" w:rsidRDefault="00DB081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D6E75" w14:textId="7DD9F7D1" w:rsidR="00DB081B" w:rsidRPr="006E3E8B" w:rsidRDefault="00BC5E02">
    <w:pPr>
      <w:pStyle w:val="Header"/>
    </w:pPr>
    <w:r w:rsidRPr="006E3E8B">
      <w:rPr>
        <w:noProof/>
      </w:rPr>
      <w:drawing>
        <wp:inline distT="0" distB="0" distL="0" distR="0" wp14:anchorId="7E032EB9" wp14:editId="765D8C3D">
          <wp:extent cx="3584575" cy="789940"/>
          <wp:effectExtent l="0" t="0" r="0" b="0"/>
          <wp:docPr id="1756022040" name="Picture 175602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789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B7D78E4"/>
    <w:multiLevelType w:val="hybridMultilevel"/>
    <w:tmpl w:val="2226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472F"/>
    <w:multiLevelType w:val="hybridMultilevel"/>
    <w:tmpl w:val="3890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E212E"/>
    <w:multiLevelType w:val="hybridMultilevel"/>
    <w:tmpl w:val="600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22BE4"/>
    <w:multiLevelType w:val="hybridMultilevel"/>
    <w:tmpl w:val="1C94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1093"/>
    <w:multiLevelType w:val="hybridMultilevel"/>
    <w:tmpl w:val="2438C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9" w15:restartNumberingAfterBreak="0">
    <w:nsid w:val="1D852BC4"/>
    <w:multiLevelType w:val="hybridMultilevel"/>
    <w:tmpl w:val="684A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299444B3"/>
    <w:multiLevelType w:val="hybridMultilevel"/>
    <w:tmpl w:val="B9D2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945D0"/>
    <w:multiLevelType w:val="hybridMultilevel"/>
    <w:tmpl w:val="2504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27ECB"/>
    <w:multiLevelType w:val="hybridMultilevel"/>
    <w:tmpl w:val="2E2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5" w15:restartNumberingAfterBreak="0">
    <w:nsid w:val="3CF24CDC"/>
    <w:multiLevelType w:val="hybridMultilevel"/>
    <w:tmpl w:val="95B0F24C"/>
    <w:lvl w:ilvl="0" w:tplc="0809000B">
      <w:start w:val="1"/>
      <w:numFmt w:val="bullet"/>
      <w:lvlText w:val=""/>
      <w:lvlJc w:val="left"/>
      <w:pPr>
        <w:tabs>
          <w:tab w:val="num" w:pos="725"/>
        </w:tabs>
        <w:ind w:left="725" w:hanging="360"/>
      </w:pPr>
      <w:rPr>
        <w:rFonts w:ascii="Wingdings" w:hAnsi="Wingdings" w:hint="default"/>
      </w:rPr>
    </w:lvl>
    <w:lvl w:ilvl="1" w:tplc="08090001">
      <w:start w:val="1"/>
      <w:numFmt w:val="bullet"/>
      <w:lvlText w:val=""/>
      <w:lvlJc w:val="left"/>
      <w:pPr>
        <w:tabs>
          <w:tab w:val="num" w:pos="1445"/>
        </w:tabs>
        <w:ind w:left="1445" w:hanging="360"/>
      </w:pPr>
      <w:rPr>
        <w:rFonts w:ascii="Symbol" w:hAnsi="Symbol"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16" w15:restartNumberingAfterBreak="0">
    <w:nsid w:val="3EB151DD"/>
    <w:multiLevelType w:val="hybridMultilevel"/>
    <w:tmpl w:val="C47EC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90EE9"/>
    <w:multiLevelType w:val="hybridMultilevel"/>
    <w:tmpl w:val="40CAED50"/>
    <w:lvl w:ilvl="0" w:tplc="D1FE7C92">
      <w:start w:val="1"/>
      <w:numFmt w:val="bullet"/>
      <w:lvlText w:val=""/>
      <w:lvlJc w:val="left"/>
      <w:pPr>
        <w:ind w:left="720" w:hanging="360"/>
      </w:pPr>
      <w:rPr>
        <w:rFonts w:ascii="Symbol" w:hAnsi="Symbol"/>
      </w:rPr>
    </w:lvl>
    <w:lvl w:ilvl="1" w:tplc="730AA06E">
      <w:start w:val="1"/>
      <w:numFmt w:val="bullet"/>
      <w:lvlText w:val=""/>
      <w:lvlJc w:val="left"/>
      <w:pPr>
        <w:ind w:left="720" w:hanging="360"/>
      </w:pPr>
      <w:rPr>
        <w:rFonts w:ascii="Symbol" w:hAnsi="Symbol"/>
      </w:rPr>
    </w:lvl>
    <w:lvl w:ilvl="2" w:tplc="2CA4FF6A">
      <w:start w:val="1"/>
      <w:numFmt w:val="bullet"/>
      <w:lvlText w:val=""/>
      <w:lvlJc w:val="left"/>
      <w:pPr>
        <w:ind w:left="720" w:hanging="360"/>
      </w:pPr>
      <w:rPr>
        <w:rFonts w:ascii="Symbol" w:hAnsi="Symbol"/>
      </w:rPr>
    </w:lvl>
    <w:lvl w:ilvl="3" w:tplc="0846D794">
      <w:start w:val="1"/>
      <w:numFmt w:val="bullet"/>
      <w:lvlText w:val=""/>
      <w:lvlJc w:val="left"/>
      <w:pPr>
        <w:ind w:left="720" w:hanging="360"/>
      </w:pPr>
      <w:rPr>
        <w:rFonts w:ascii="Symbol" w:hAnsi="Symbol"/>
      </w:rPr>
    </w:lvl>
    <w:lvl w:ilvl="4" w:tplc="00F28856">
      <w:start w:val="1"/>
      <w:numFmt w:val="bullet"/>
      <w:lvlText w:val=""/>
      <w:lvlJc w:val="left"/>
      <w:pPr>
        <w:ind w:left="720" w:hanging="360"/>
      </w:pPr>
      <w:rPr>
        <w:rFonts w:ascii="Symbol" w:hAnsi="Symbol"/>
      </w:rPr>
    </w:lvl>
    <w:lvl w:ilvl="5" w:tplc="AEEE56D8">
      <w:start w:val="1"/>
      <w:numFmt w:val="bullet"/>
      <w:lvlText w:val=""/>
      <w:lvlJc w:val="left"/>
      <w:pPr>
        <w:ind w:left="720" w:hanging="360"/>
      </w:pPr>
      <w:rPr>
        <w:rFonts w:ascii="Symbol" w:hAnsi="Symbol"/>
      </w:rPr>
    </w:lvl>
    <w:lvl w:ilvl="6" w:tplc="04BC05F4">
      <w:start w:val="1"/>
      <w:numFmt w:val="bullet"/>
      <w:lvlText w:val=""/>
      <w:lvlJc w:val="left"/>
      <w:pPr>
        <w:ind w:left="720" w:hanging="360"/>
      </w:pPr>
      <w:rPr>
        <w:rFonts w:ascii="Symbol" w:hAnsi="Symbol"/>
      </w:rPr>
    </w:lvl>
    <w:lvl w:ilvl="7" w:tplc="CBAE89A6">
      <w:start w:val="1"/>
      <w:numFmt w:val="bullet"/>
      <w:lvlText w:val=""/>
      <w:lvlJc w:val="left"/>
      <w:pPr>
        <w:ind w:left="720" w:hanging="360"/>
      </w:pPr>
      <w:rPr>
        <w:rFonts w:ascii="Symbol" w:hAnsi="Symbol"/>
      </w:rPr>
    </w:lvl>
    <w:lvl w:ilvl="8" w:tplc="1EA2A1BA">
      <w:start w:val="1"/>
      <w:numFmt w:val="bullet"/>
      <w:lvlText w:val=""/>
      <w:lvlJc w:val="left"/>
      <w:pPr>
        <w:ind w:left="720" w:hanging="360"/>
      </w:pPr>
      <w:rPr>
        <w:rFonts w:ascii="Symbol" w:hAnsi="Symbol"/>
      </w:rPr>
    </w:lvl>
  </w:abstractNum>
  <w:abstractNum w:abstractNumId="18" w15:restartNumberingAfterBreak="0">
    <w:nsid w:val="51B000C6"/>
    <w:multiLevelType w:val="hybridMultilevel"/>
    <w:tmpl w:val="80E0BA72"/>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06256"/>
    <w:multiLevelType w:val="hybridMultilevel"/>
    <w:tmpl w:val="B310108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5C12591D"/>
    <w:multiLevelType w:val="hybridMultilevel"/>
    <w:tmpl w:val="F72E42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61E7244F"/>
    <w:multiLevelType w:val="hybridMultilevel"/>
    <w:tmpl w:val="54F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53025"/>
    <w:multiLevelType w:val="hybridMultilevel"/>
    <w:tmpl w:val="8A58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D5864"/>
    <w:multiLevelType w:val="hybridMultilevel"/>
    <w:tmpl w:val="1DBC12B0"/>
    <w:lvl w:ilvl="0" w:tplc="B2CE1DB6">
      <w:numFmt w:val="bullet"/>
      <w:lvlText w:val="-"/>
      <w:lvlJc w:val="left"/>
      <w:pPr>
        <w:ind w:left="2520" w:hanging="360"/>
      </w:pPr>
      <w:rPr>
        <w:rFonts w:ascii="Verdana" w:eastAsia="Times New Roman" w:hAnsi="Verdana"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6C694D94"/>
    <w:multiLevelType w:val="hybridMultilevel"/>
    <w:tmpl w:val="F4A4FDF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D756607"/>
    <w:multiLevelType w:val="hybridMultilevel"/>
    <w:tmpl w:val="F086CEDC"/>
    <w:lvl w:ilvl="0" w:tplc="4BEE7C0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2174233">
    <w:abstractNumId w:val="14"/>
  </w:num>
  <w:num w:numId="2" w16cid:durableId="1282766716">
    <w:abstractNumId w:val="10"/>
  </w:num>
  <w:num w:numId="3" w16cid:durableId="520165042">
    <w:abstractNumId w:val="2"/>
  </w:num>
  <w:num w:numId="4" w16cid:durableId="1420709948">
    <w:abstractNumId w:val="1"/>
  </w:num>
  <w:num w:numId="5" w16cid:durableId="1393968066">
    <w:abstractNumId w:val="0"/>
  </w:num>
  <w:num w:numId="6" w16cid:durableId="644702763">
    <w:abstractNumId w:val="8"/>
  </w:num>
  <w:num w:numId="7" w16cid:durableId="1583447875">
    <w:abstractNumId w:val="19"/>
  </w:num>
  <w:num w:numId="8" w16cid:durableId="1977224708">
    <w:abstractNumId w:val="18"/>
  </w:num>
  <w:num w:numId="9" w16cid:durableId="1520850137">
    <w:abstractNumId w:val="16"/>
  </w:num>
  <w:num w:numId="10" w16cid:durableId="2062820252">
    <w:abstractNumId w:val="15"/>
  </w:num>
  <w:num w:numId="11" w16cid:durableId="1936357533">
    <w:abstractNumId w:val="21"/>
  </w:num>
  <w:num w:numId="12" w16cid:durableId="1637679521">
    <w:abstractNumId w:val="9"/>
  </w:num>
  <w:num w:numId="13" w16cid:durableId="766540384">
    <w:abstractNumId w:val="6"/>
  </w:num>
  <w:num w:numId="14" w16cid:durableId="842941249">
    <w:abstractNumId w:val="20"/>
  </w:num>
  <w:num w:numId="15" w16cid:durableId="479274987">
    <w:abstractNumId w:val="3"/>
  </w:num>
  <w:num w:numId="16" w16cid:durableId="1906605919">
    <w:abstractNumId w:val="12"/>
  </w:num>
  <w:num w:numId="17" w16cid:durableId="1961377286">
    <w:abstractNumId w:val="17"/>
  </w:num>
  <w:num w:numId="18" w16cid:durableId="1917393081">
    <w:abstractNumId w:val="13"/>
  </w:num>
  <w:num w:numId="19" w16cid:durableId="394624889">
    <w:abstractNumId w:val="5"/>
  </w:num>
  <w:num w:numId="20" w16cid:durableId="1885630891">
    <w:abstractNumId w:val="4"/>
  </w:num>
  <w:num w:numId="21" w16cid:durableId="32703700">
    <w:abstractNumId w:val="22"/>
  </w:num>
  <w:num w:numId="22" w16cid:durableId="1929458466">
    <w:abstractNumId w:val="25"/>
  </w:num>
  <w:num w:numId="23" w16cid:durableId="883326666">
    <w:abstractNumId w:val="23"/>
  </w:num>
  <w:num w:numId="24" w16cid:durableId="1339891631">
    <w:abstractNumId w:val="11"/>
  </w:num>
  <w:num w:numId="25" w16cid:durableId="1683000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4218270">
    <w:abstractNumId w:val="24"/>
  </w:num>
  <w:num w:numId="27" w16cid:durableId="95822000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3921"/>
    <w:rsid w:val="00010432"/>
    <w:rsid w:val="000159F2"/>
    <w:rsid w:val="000316D8"/>
    <w:rsid w:val="00035C31"/>
    <w:rsid w:val="00041CBF"/>
    <w:rsid w:val="00051B49"/>
    <w:rsid w:val="000639B6"/>
    <w:rsid w:val="00070B79"/>
    <w:rsid w:val="0007371E"/>
    <w:rsid w:val="00081E1F"/>
    <w:rsid w:val="000830FB"/>
    <w:rsid w:val="00092338"/>
    <w:rsid w:val="00093842"/>
    <w:rsid w:val="00096456"/>
    <w:rsid w:val="000A2B09"/>
    <w:rsid w:val="000A2C7D"/>
    <w:rsid w:val="000B2CE3"/>
    <w:rsid w:val="000B3766"/>
    <w:rsid w:val="000C574B"/>
    <w:rsid w:val="000C6F83"/>
    <w:rsid w:val="000D2526"/>
    <w:rsid w:val="000D7B15"/>
    <w:rsid w:val="000E2B4D"/>
    <w:rsid w:val="000E6965"/>
    <w:rsid w:val="000E7A71"/>
    <w:rsid w:val="000F253E"/>
    <w:rsid w:val="000F2926"/>
    <w:rsid w:val="001006E6"/>
    <w:rsid w:val="00101508"/>
    <w:rsid w:val="00106F8E"/>
    <w:rsid w:val="00114D2D"/>
    <w:rsid w:val="00114E0E"/>
    <w:rsid w:val="00117C4D"/>
    <w:rsid w:val="00120E42"/>
    <w:rsid w:val="001230BC"/>
    <w:rsid w:val="00131657"/>
    <w:rsid w:val="00132B2F"/>
    <w:rsid w:val="00133F1C"/>
    <w:rsid w:val="001411B1"/>
    <w:rsid w:val="00152302"/>
    <w:rsid w:val="001542C1"/>
    <w:rsid w:val="0015453A"/>
    <w:rsid w:val="00155C0B"/>
    <w:rsid w:val="00161F2D"/>
    <w:rsid w:val="0016262D"/>
    <w:rsid w:val="001632D5"/>
    <w:rsid w:val="0017105E"/>
    <w:rsid w:val="0018263C"/>
    <w:rsid w:val="00183781"/>
    <w:rsid w:val="001A6AFB"/>
    <w:rsid w:val="001B268E"/>
    <w:rsid w:val="001D0DB1"/>
    <w:rsid w:val="001D1E29"/>
    <w:rsid w:val="001E406C"/>
    <w:rsid w:val="001E5FA3"/>
    <w:rsid w:val="001F4813"/>
    <w:rsid w:val="001F7983"/>
    <w:rsid w:val="00202522"/>
    <w:rsid w:val="00203BE4"/>
    <w:rsid w:val="002044F7"/>
    <w:rsid w:val="00205343"/>
    <w:rsid w:val="002069AD"/>
    <w:rsid w:val="00212E75"/>
    <w:rsid w:val="00230D77"/>
    <w:rsid w:val="00236C94"/>
    <w:rsid w:val="00237FDF"/>
    <w:rsid w:val="002429F8"/>
    <w:rsid w:val="00252222"/>
    <w:rsid w:val="0025368A"/>
    <w:rsid w:val="002630AD"/>
    <w:rsid w:val="00270F78"/>
    <w:rsid w:val="00276D8C"/>
    <w:rsid w:val="00281D56"/>
    <w:rsid w:val="0028617A"/>
    <w:rsid w:val="00294FD2"/>
    <w:rsid w:val="00295F44"/>
    <w:rsid w:val="002A2866"/>
    <w:rsid w:val="002B2FB3"/>
    <w:rsid w:val="002B57C2"/>
    <w:rsid w:val="002B7165"/>
    <w:rsid w:val="002C2590"/>
    <w:rsid w:val="002C2D5C"/>
    <w:rsid w:val="002D379F"/>
    <w:rsid w:val="002D4FA5"/>
    <w:rsid w:val="002D5CE9"/>
    <w:rsid w:val="003017CF"/>
    <w:rsid w:val="00303B71"/>
    <w:rsid w:val="003053CA"/>
    <w:rsid w:val="00307713"/>
    <w:rsid w:val="00310282"/>
    <w:rsid w:val="0031521C"/>
    <w:rsid w:val="003158AB"/>
    <w:rsid w:val="00321F41"/>
    <w:rsid w:val="00323FA7"/>
    <w:rsid w:val="00333C85"/>
    <w:rsid w:val="00334117"/>
    <w:rsid w:val="003361FA"/>
    <w:rsid w:val="00340662"/>
    <w:rsid w:val="00341064"/>
    <w:rsid w:val="00347C8F"/>
    <w:rsid w:val="00353690"/>
    <w:rsid w:val="00355785"/>
    <w:rsid w:val="00360BEB"/>
    <w:rsid w:val="00367068"/>
    <w:rsid w:val="00371CE9"/>
    <w:rsid w:val="00382B0C"/>
    <w:rsid w:val="00386758"/>
    <w:rsid w:val="00386943"/>
    <w:rsid w:val="00386E76"/>
    <w:rsid w:val="0039024C"/>
    <w:rsid w:val="00391FAE"/>
    <w:rsid w:val="003A1E71"/>
    <w:rsid w:val="003A39FE"/>
    <w:rsid w:val="003A4095"/>
    <w:rsid w:val="003A5136"/>
    <w:rsid w:val="003A5D31"/>
    <w:rsid w:val="003B28EF"/>
    <w:rsid w:val="003B30C5"/>
    <w:rsid w:val="003B6DE1"/>
    <w:rsid w:val="003C6C93"/>
    <w:rsid w:val="003D0C0D"/>
    <w:rsid w:val="003D34DC"/>
    <w:rsid w:val="003D3AE4"/>
    <w:rsid w:val="003D45FE"/>
    <w:rsid w:val="003E1CCA"/>
    <w:rsid w:val="003F4696"/>
    <w:rsid w:val="003F5B02"/>
    <w:rsid w:val="004004F1"/>
    <w:rsid w:val="00403714"/>
    <w:rsid w:val="0041547A"/>
    <w:rsid w:val="00417388"/>
    <w:rsid w:val="0043025E"/>
    <w:rsid w:val="00435F3F"/>
    <w:rsid w:val="00436B8F"/>
    <w:rsid w:val="00441BF5"/>
    <w:rsid w:val="0044389A"/>
    <w:rsid w:val="00444209"/>
    <w:rsid w:val="00444A88"/>
    <w:rsid w:val="004500BD"/>
    <w:rsid w:val="00455388"/>
    <w:rsid w:val="00461BFC"/>
    <w:rsid w:val="00465493"/>
    <w:rsid w:val="00470BBE"/>
    <w:rsid w:val="0047647A"/>
    <w:rsid w:val="00476EB7"/>
    <w:rsid w:val="004811CE"/>
    <w:rsid w:val="00481B87"/>
    <w:rsid w:val="00487933"/>
    <w:rsid w:val="004930D4"/>
    <w:rsid w:val="004961B4"/>
    <w:rsid w:val="004A4C2A"/>
    <w:rsid w:val="004B2EFF"/>
    <w:rsid w:val="004C10E3"/>
    <w:rsid w:val="004C1D64"/>
    <w:rsid w:val="004C2A4F"/>
    <w:rsid w:val="004C34C9"/>
    <w:rsid w:val="004C76B3"/>
    <w:rsid w:val="004D3951"/>
    <w:rsid w:val="004E0768"/>
    <w:rsid w:val="004E09B4"/>
    <w:rsid w:val="004E586B"/>
    <w:rsid w:val="004E602E"/>
    <w:rsid w:val="004F3A89"/>
    <w:rsid w:val="00505DC5"/>
    <w:rsid w:val="005111DB"/>
    <w:rsid w:val="005140ED"/>
    <w:rsid w:val="00521FC2"/>
    <w:rsid w:val="00524393"/>
    <w:rsid w:val="00526F3F"/>
    <w:rsid w:val="00535852"/>
    <w:rsid w:val="00535D4A"/>
    <w:rsid w:val="005437E8"/>
    <w:rsid w:val="0054405E"/>
    <w:rsid w:val="005533BF"/>
    <w:rsid w:val="005568EF"/>
    <w:rsid w:val="00573F36"/>
    <w:rsid w:val="00582FAD"/>
    <w:rsid w:val="00584014"/>
    <w:rsid w:val="0058635C"/>
    <w:rsid w:val="005A6D6F"/>
    <w:rsid w:val="005B2105"/>
    <w:rsid w:val="005B63C6"/>
    <w:rsid w:val="005C0274"/>
    <w:rsid w:val="005C1816"/>
    <w:rsid w:val="005C6F18"/>
    <w:rsid w:val="005D0E35"/>
    <w:rsid w:val="005D2F55"/>
    <w:rsid w:val="005E3E79"/>
    <w:rsid w:val="005E50A5"/>
    <w:rsid w:val="005F1057"/>
    <w:rsid w:val="005F36A4"/>
    <w:rsid w:val="005F3D66"/>
    <w:rsid w:val="00601D2D"/>
    <w:rsid w:val="00604D43"/>
    <w:rsid w:val="006067C2"/>
    <w:rsid w:val="006156AC"/>
    <w:rsid w:val="00625B6F"/>
    <w:rsid w:val="0063662B"/>
    <w:rsid w:val="00640458"/>
    <w:rsid w:val="00640E10"/>
    <w:rsid w:val="006429C1"/>
    <w:rsid w:val="00647670"/>
    <w:rsid w:val="00654B66"/>
    <w:rsid w:val="00654CF8"/>
    <w:rsid w:val="0066218F"/>
    <w:rsid w:val="00665675"/>
    <w:rsid w:val="006711F2"/>
    <w:rsid w:val="00671F88"/>
    <w:rsid w:val="00673242"/>
    <w:rsid w:val="0068271A"/>
    <w:rsid w:val="006924EF"/>
    <w:rsid w:val="006949E0"/>
    <w:rsid w:val="006A0751"/>
    <w:rsid w:val="006A4BCB"/>
    <w:rsid w:val="006B07C2"/>
    <w:rsid w:val="006B1FED"/>
    <w:rsid w:val="006B6A5E"/>
    <w:rsid w:val="006C02EF"/>
    <w:rsid w:val="006C5CF0"/>
    <w:rsid w:val="006D1CB9"/>
    <w:rsid w:val="006D3668"/>
    <w:rsid w:val="006D4FC7"/>
    <w:rsid w:val="006E3073"/>
    <w:rsid w:val="006E3E8B"/>
    <w:rsid w:val="006F41C3"/>
    <w:rsid w:val="006F585B"/>
    <w:rsid w:val="006F5DCF"/>
    <w:rsid w:val="00704CFC"/>
    <w:rsid w:val="00715D96"/>
    <w:rsid w:val="00716F1F"/>
    <w:rsid w:val="007225BB"/>
    <w:rsid w:val="007259BD"/>
    <w:rsid w:val="007263AA"/>
    <w:rsid w:val="00733A6A"/>
    <w:rsid w:val="0074127F"/>
    <w:rsid w:val="00741B8A"/>
    <w:rsid w:val="0074353F"/>
    <w:rsid w:val="00750AF1"/>
    <w:rsid w:val="00755BA6"/>
    <w:rsid w:val="00761F77"/>
    <w:rsid w:val="00767FC6"/>
    <w:rsid w:val="00776226"/>
    <w:rsid w:val="007771E2"/>
    <w:rsid w:val="007825B5"/>
    <w:rsid w:val="0079490F"/>
    <w:rsid w:val="00794F90"/>
    <w:rsid w:val="007A7CC0"/>
    <w:rsid w:val="007B181F"/>
    <w:rsid w:val="007B19C9"/>
    <w:rsid w:val="007B50C4"/>
    <w:rsid w:val="007C18AD"/>
    <w:rsid w:val="007C1B1E"/>
    <w:rsid w:val="007C560A"/>
    <w:rsid w:val="007D0E78"/>
    <w:rsid w:val="007D2578"/>
    <w:rsid w:val="007D4E53"/>
    <w:rsid w:val="007D708C"/>
    <w:rsid w:val="007E3BB3"/>
    <w:rsid w:val="007E7153"/>
    <w:rsid w:val="007E74B3"/>
    <w:rsid w:val="007F16CC"/>
    <w:rsid w:val="00806B49"/>
    <w:rsid w:val="008208BF"/>
    <w:rsid w:val="00824244"/>
    <w:rsid w:val="00834E37"/>
    <w:rsid w:val="00835F43"/>
    <w:rsid w:val="008551DE"/>
    <w:rsid w:val="00863202"/>
    <w:rsid w:val="008665C4"/>
    <w:rsid w:val="008817B4"/>
    <w:rsid w:val="00881E86"/>
    <w:rsid w:val="0088665B"/>
    <w:rsid w:val="00891A73"/>
    <w:rsid w:val="00892E0A"/>
    <w:rsid w:val="00894145"/>
    <w:rsid w:val="00895A50"/>
    <w:rsid w:val="0089731B"/>
    <w:rsid w:val="00897447"/>
    <w:rsid w:val="008A0067"/>
    <w:rsid w:val="008A04AF"/>
    <w:rsid w:val="008B1A7D"/>
    <w:rsid w:val="008C3AEB"/>
    <w:rsid w:val="008D0C07"/>
    <w:rsid w:val="008F0619"/>
    <w:rsid w:val="008F2190"/>
    <w:rsid w:val="00910490"/>
    <w:rsid w:val="009147D8"/>
    <w:rsid w:val="00921D2B"/>
    <w:rsid w:val="009229C8"/>
    <w:rsid w:val="00926985"/>
    <w:rsid w:val="00927087"/>
    <w:rsid w:val="00932B85"/>
    <w:rsid w:val="00942231"/>
    <w:rsid w:val="009448E0"/>
    <w:rsid w:val="00952597"/>
    <w:rsid w:val="00953DC3"/>
    <w:rsid w:val="00982657"/>
    <w:rsid w:val="00984B9A"/>
    <w:rsid w:val="00995A9D"/>
    <w:rsid w:val="009A1381"/>
    <w:rsid w:val="009A153E"/>
    <w:rsid w:val="009A31FF"/>
    <w:rsid w:val="009A4306"/>
    <w:rsid w:val="009A7B66"/>
    <w:rsid w:val="009B48DD"/>
    <w:rsid w:val="009C7F21"/>
    <w:rsid w:val="009D02EF"/>
    <w:rsid w:val="009D1F5B"/>
    <w:rsid w:val="009D5A2B"/>
    <w:rsid w:val="009D6016"/>
    <w:rsid w:val="009D7B84"/>
    <w:rsid w:val="009E3360"/>
    <w:rsid w:val="009E7C4A"/>
    <w:rsid w:val="009F4709"/>
    <w:rsid w:val="00A00155"/>
    <w:rsid w:val="00A156C4"/>
    <w:rsid w:val="00A170BB"/>
    <w:rsid w:val="00A41528"/>
    <w:rsid w:val="00A45A06"/>
    <w:rsid w:val="00A561EC"/>
    <w:rsid w:val="00A73BF5"/>
    <w:rsid w:val="00A75163"/>
    <w:rsid w:val="00A82738"/>
    <w:rsid w:val="00AA3379"/>
    <w:rsid w:val="00AA77F2"/>
    <w:rsid w:val="00AB0766"/>
    <w:rsid w:val="00AB3ED9"/>
    <w:rsid w:val="00AB7DF1"/>
    <w:rsid w:val="00AC6F51"/>
    <w:rsid w:val="00AC7174"/>
    <w:rsid w:val="00AD5921"/>
    <w:rsid w:val="00AE42DD"/>
    <w:rsid w:val="00AE4455"/>
    <w:rsid w:val="00AE74AF"/>
    <w:rsid w:val="00AF15D6"/>
    <w:rsid w:val="00AF239B"/>
    <w:rsid w:val="00AF572D"/>
    <w:rsid w:val="00B07A48"/>
    <w:rsid w:val="00B1001F"/>
    <w:rsid w:val="00B105E6"/>
    <w:rsid w:val="00B140E0"/>
    <w:rsid w:val="00B14938"/>
    <w:rsid w:val="00B157E1"/>
    <w:rsid w:val="00B160F7"/>
    <w:rsid w:val="00B16CDF"/>
    <w:rsid w:val="00B1730E"/>
    <w:rsid w:val="00B216E5"/>
    <w:rsid w:val="00B51EB8"/>
    <w:rsid w:val="00B53E46"/>
    <w:rsid w:val="00B57FBE"/>
    <w:rsid w:val="00B612C6"/>
    <w:rsid w:val="00B673C7"/>
    <w:rsid w:val="00B6747A"/>
    <w:rsid w:val="00B70CE3"/>
    <w:rsid w:val="00B72A60"/>
    <w:rsid w:val="00B8502D"/>
    <w:rsid w:val="00B928E0"/>
    <w:rsid w:val="00B92BBE"/>
    <w:rsid w:val="00B92CDF"/>
    <w:rsid w:val="00BA1184"/>
    <w:rsid w:val="00BA7997"/>
    <w:rsid w:val="00BC5E02"/>
    <w:rsid w:val="00BC6287"/>
    <w:rsid w:val="00BC6F4A"/>
    <w:rsid w:val="00BD0C1D"/>
    <w:rsid w:val="00BE6226"/>
    <w:rsid w:val="00BF2B48"/>
    <w:rsid w:val="00C0474F"/>
    <w:rsid w:val="00C12B77"/>
    <w:rsid w:val="00C16EC8"/>
    <w:rsid w:val="00C218E8"/>
    <w:rsid w:val="00C24C97"/>
    <w:rsid w:val="00C34C3D"/>
    <w:rsid w:val="00C3660E"/>
    <w:rsid w:val="00C36CF2"/>
    <w:rsid w:val="00C36F3D"/>
    <w:rsid w:val="00C42D77"/>
    <w:rsid w:val="00C45035"/>
    <w:rsid w:val="00C45E06"/>
    <w:rsid w:val="00C526CF"/>
    <w:rsid w:val="00C54BED"/>
    <w:rsid w:val="00C55297"/>
    <w:rsid w:val="00C55F5E"/>
    <w:rsid w:val="00C74FA9"/>
    <w:rsid w:val="00C970FD"/>
    <w:rsid w:val="00CA0DB1"/>
    <w:rsid w:val="00CA30F6"/>
    <w:rsid w:val="00CB2FA0"/>
    <w:rsid w:val="00CB5BA0"/>
    <w:rsid w:val="00CC2692"/>
    <w:rsid w:val="00CC32FE"/>
    <w:rsid w:val="00CC4A4B"/>
    <w:rsid w:val="00CE4CE2"/>
    <w:rsid w:val="00CE5BAE"/>
    <w:rsid w:val="00CE5EAD"/>
    <w:rsid w:val="00D04478"/>
    <w:rsid w:val="00D06254"/>
    <w:rsid w:val="00D24585"/>
    <w:rsid w:val="00D277E9"/>
    <w:rsid w:val="00D34928"/>
    <w:rsid w:val="00D36463"/>
    <w:rsid w:val="00D4028F"/>
    <w:rsid w:val="00D404F7"/>
    <w:rsid w:val="00D46437"/>
    <w:rsid w:val="00D538A9"/>
    <w:rsid w:val="00D5572C"/>
    <w:rsid w:val="00D6285A"/>
    <w:rsid w:val="00D628EE"/>
    <w:rsid w:val="00D64663"/>
    <w:rsid w:val="00D658C9"/>
    <w:rsid w:val="00D7065F"/>
    <w:rsid w:val="00D73C08"/>
    <w:rsid w:val="00D7652A"/>
    <w:rsid w:val="00D80362"/>
    <w:rsid w:val="00D8146E"/>
    <w:rsid w:val="00D81A19"/>
    <w:rsid w:val="00D85BA0"/>
    <w:rsid w:val="00D920E6"/>
    <w:rsid w:val="00D93BEF"/>
    <w:rsid w:val="00D96B1B"/>
    <w:rsid w:val="00DA1429"/>
    <w:rsid w:val="00DB081B"/>
    <w:rsid w:val="00DB2F09"/>
    <w:rsid w:val="00DB544A"/>
    <w:rsid w:val="00DD049A"/>
    <w:rsid w:val="00DD3330"/>
    <w:rsid w:val="00DD40D2"/>
    <w:rsid w:val="00DE1A01"/>
    <w:rsid w:val="00DE48C9"/>
    <w:rsid w:val="00DE567A"/>
    <w:rsid w:val="00DE7902"/>
    <w:rsid w:val="00DF0DCE"/>
    <w:rsid w:val="00E00B0F"/>
    <w:rsid w:val="00E0315D"/>
    <w:rsid w:val="00E151B5"/>
    <w:rsid w:val="00E1521C"/>
    <w:rsid w:val="00E158E1"/>
    <w:rsid w:val="00E15FF0"/>
    <w:rsid w:val="00E1778A"/>
    <w:rsid w:val="00E23ACA"/>
    <w:rsid w:val="00E25A96"/>
    <w:rsid w:val="00E30297"/>
    <w:rsid w:val="00E324F2"/>
    <w:rsid w:val="00E37126"/>
    <w:rsid w:val="00E443B2"/>
    <w:rsid w:val="00E5313D"/>
    <w:rsid w:val="00E56507"/>
    <w:rsid w:val="00E66C19"/>
    <w:rsid w:val="00E70138"/>
    <w:rsid w:val="00E834AF"/>
    <w:rsid w:val="00E864EE"/>
    <w:rsid w:val="00E911B1"/>
    <w:rsid w:val="00E93C74"/>
    <w:rsid w:val="00EA3762"/>
    <w:rsid w:val="00EB149B"/>
    <w:rsid w:val="00EB756E"/>
    <w:rsid w:val="00EC4138"/>
    <w:rsid w:val="00EC6835"/>
    <w:rsid w:val="00ED023D"/>
    <w:rsid w:val="00ED13A4"/>
    <w:rsid w:val="00ED1CDE"/>
    <w:rsid w:val="00ED37D2"/>
    <w:rsid w:val="00EE4B3A"/>
    <w:rsid w:val="00EF276A"/>
    <w:rsid w:val="00EF6747"/>
    <w:rsid w:val="00F05B40"/>
    <w:rsid w:val="00F07FD9"/>
    <w:rsid w:val="00F346A1"/>
    <w:rsid w:val="00F428DE"/>
    <w:rsid w:val="00F47054"/>
    <w:rsid w:val="00F509A4"/>
    <w:rsid w:val="00F51A0F"/>
    <w:rsid w:val="00F51B0C"/>
    <w:rsid w:val="00F54BC2"/>
    <w:rsid w:val="00F604B1"/>
    <w:rsid w:val="00F62F86"/>
    <w:rsid w:val="00F749F6"/>
    <w:rsid w:val="00F75347"/>
    <w:rsid w:val="00F75732"/>
    <w:rsid w:val="00F81AA5"/>
    <w:rsid w:val="00F92B21"/>
    <w:rsid w:val="00FA0BBE"/>
    <w:rsid w:val="00FB223F"/>
    <w:rsid w:val="00FC0816"/>
    <w:rsid w:val="00FC0FE6"/>
    <w:rsid w:val="00FC33A1"/>
    <w:rsid w:val="00FC3E52"/>
    <w:rsid w:val="00FD07C6"/>
    <w:rsid w:val="00FD5E81"/>
    <w:rsid w:val="00FF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A5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85"/>
    <w:pPr>
      <w:tabs>
        <w:tab w:val="left" w:pos="720"/>
      </w:tabs>
      <w:jc w:val="both"/>
    </w:pPr>
    <w:rPr>
      <w:sz w:val="22"/>
      <w:lang w:val="en-US"/>
    </w:rPr>
  </w:style>
  <w:style w:type="paragraph" w:styleId="Heading1">
    <w:name w:val="heading 1"/>
    <w:basedOn w:val="Normal"/>
    <w:next w:val="Heading2"/>
    <w:qFormat/>
    <w:rsid w:val="00DE48C9"/>
    <w:pPr>
      <w:keepNext/>
      <w:keepLines/>
      <w:numPr>
        <w:numId w:val="1"/>
      </w:numPr>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spacing w:after="240"/>
      <w:outlineLvl w:val="1"/>
    </w:pPr>
    <w:rPr>
      <w:smallCaps/>
    </w:rPr>
  </w:style>
  <w:style w:type="paragraph" w:styleId="Heading3">
    <w:name w:val="heading 3"/>
    <w:basedOn w:val="Normal"/>
    <w:next w:val="Heading4"/>
    <w:qFormat/>
    <w:rsid w:val="00DE48C9"/>
    <w:pPr>
      <w:keepNext/>
      <w:keepLines/>
      <w:numPr>
        <w:ilvl w:val="2"/>
        <w:numId w:val="1"/>
      </w:numPr>
      <w:spacing w:after="240"/>
      <w:outlineLvl w:val="2"/>
    </w:pPr>
    <w:rPr>
      <w:b/>
    </w:rPr>
  </w:style>
  <w:style w:type="paragraph" w:styleId="Heading4">
    <w:name w:val="heading 4"/>
    <w:basedOn w:val="Normal"/>
    <w:next w:val="Heading5"/>
    <w:qFormat/>
    <w:rsid w:val="00DE48C9"/>
    <w:pPr>
      <w:keepNext/>
      <w:keepLines/>
      <w:numPr>
        <w:ilvl w:val="3"/>
        <w:numId w:val="1"/>
      </w:numPr>
      <w:spacing w:after="240"/>
      <w:outlineLvl w:val="3"/>
    </w:pPr>
  </w:style>
  <w:style w:type="paragraph" w:styleId="Heading5">
    <w:name w:val="heading 5"/>
    <w:basedOn w:val="Normal"/>
    <w:next w:val="BodyText"/>
    <w:qFormat/>
    <w:rsid w:val="00DE48C9"/>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8C9"/>
    <w:pPr>
      <w:numPr>
        <w:ilvl w:val="5"/>
        <w:numId w:val="1"/>
      </w:numPr>
      <w:spacing w:after="240"/>
    </w:pPr>
  </w:style>
  <w:style w:type="character" w:styleId="PageNumber">
    <w:name w:val="page number"/>
    <w:basedOn w:val="DefaultParagraphFont"/>
    <w:rsid w:val="00AF572D"/>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link w:val="HeaderChar"/>
    <w:uiPriority w:val="99"/>
    <w:pPr>
      <w:tabs>
        <w:tab w:val="center" w:pos="4513"/>
        <w:tab w:val="right" w:pos="9027"/>
      </w:tabs>
      <w:jc w:val="left"/>
    </w:pPr>
  </w:style>
  <w:style w:type="paragraph" w:customStyle="1" w:styleId="CharCharCharCharCharCharCharCharCharChar">
    <w:name w:val="Char Char Char Char Char Char Char Char Char Char"/>
    <w:aliases w:val=" Char Char Char Char Char Char Char Char Char Char Char Char Char"/>
    <w:basedOn w:val="Normal"/>
    <w:next w:val="Normal"/>
    <w:semiHidden/>
    <w:rsid w:val="009D02EF"/>
    <w:pPr>
      <w:tabs>
        <w:tab w:val="clear" w:pos="720"/>
      </w:tabs>
      <w:spacing w:after="160" w:line="240" w:lineRule="exact"/>
      <w:jc w:val="left"/>
    </w:pPr>
    <w:rPr>
      <w:rFonts w:ascii="Arial" w:hAnsi="Arial" w:cs="Arial"/>
      <w:sz w:val="20"/>
      <w:lang w:eastAsia="en-US"/>
    </w:rPr>
  </w:style>
  <w:style w:type="paragraph" w:styleId="BalloonText">
    <w:name w:val="Balloon Text"/>
    <w:basedOn w:val="Normal"/>
    <w:link w:val="BalloonTextChar"/>
    <w:uiPriority w:val="99"/>
    <w:semiHidden/>
    <w:unhideWhenUsed/>
    <w:rsid w:val="00101508"/>
    <w:rPr>
      <w:rFonts w:ascii="Tahoma" w:hAnsi="Tahoma" w:cs="Tahoma"/>
      <w:sz w:val="16"/>
      <w:szCs w:val="16"/>
    </w:rPr>
  </w:style>
  <w:style w:type="character" w:customStyle="1" w:styleId="BalloonTextChar">
    <w:name w:val="Balloon Text Char"/>
    <w:link w:val="BalloonText"/>
    <w:uiPriority w:val="99"/>
    <w:semiHidden/>
    <w:rsid w:val="00101508"/>
    <w:rPr>
      <w:rFonts w:ascii="Tahoma" w:hAnsi="Tahoma" w:cs="Tahoma"/>
      <w:sz w:val="16"/>
      <w:szCs w:val="16"/>
      <w:lang w:val="fr-FR" w:eastAsia="en-GB"/>
    </w:rPr>
  </w:style>
  <w:style w:type="paragraph" w:styleId="Revision">
    <w:name w:val="Revision"/>
    <w:hidden/>
    <w:uiPriority w:val="99"/>
    <w:semiHidden/>
    <w:rsid w:val="00881E86"/>
    <w:rPr>
      <w:sz w:val="22"/>
      <w:lang w:val="fr-FR"/>
    </w:rPr>
  </w:style>
  <w:style w:type="character" w:styleId="CommentReference">
    <w:name w:val="annotation reference"/>
    <w:uiPriority w:val="99"/>
    <w:semiHidden/>
    <w:unhideWhenUsed/>
    <w:rsid w:val="006F585B"/>
    <w:rPr>
      <w:sz w:val="16"/>
      <w:szCs w:val="16"/>
    </w:rPr>
  </w:style>
  <w:style w:type="paragraph" w:styleId="CommentText">
    <w:name w:val="annotation text"/>
    <w:basedOn w:val="Normal"/>
    <w:link w:val="CommentTextChar"/>
    <w:uiPriority w:val="99"/>
    <w:unhideWhenUsed/>
    <w:rsid w:val="006F585B"/>
    <w:rPr>
      <w:sz w:val="20"/>
    </w:rPr>
  </w:style>
  <w:style w:type="character" w:customStyle="1" w:styleId="CommentTextChar">
    <w:name w:val="Comment Text Char"/>
    <w:link w:val="CommentText"/>
    <w:uiPriority w:val="99"/>
    <w:rsid w:val="006F585B"/>
    <w:rPr>
      <w:lang w:eastAsia="en-GB"/>
    </w:rPr>
  </w:style>
  <w:style w:type="paragraph" w:styleId="CommentSubject">
    <w:name w:val="annotation subject"/>
    <w:basedOn w:val="CommentText"/>
    <w:next w:val="CommentText"/>
    <w:link w:val="CommentSubjectChar"/>
    <w:uiPriority w:val="99"/>
    <w:semiHidden/>
    <w:unhideWhenUsed/>
    <w:rsid w:val="006F585B"/>
    <w:rPr>
      <w:b/>
      <w:bCs/>
    </w:rPr>
  </w:style>
  <w:style w:type="character" w:customStyle="1" w:styleId="CommentSubjectChar">
    <w:name w:val="Comment Subject Char"/>
    <w:link w:val="CommentSubject"/>
    <w:uiPriority w:val="99"/>
    <w:semiHidden/>
    <w:rsid w:val="006F585B"/>
    <w:rPr>
      <w:b/>
      <w:bCs/>
      <w:lang w:eastAsia="en-GB"/>
    </w:rPr>
  </w:style>
  <w:style w:type="paragraph" w:styleId="ListParagraph">
    <w:name w:val="List Paragraph"/>
    <w:basedOn w:val="Normal"/>
    <w:uiPriority w:val="34"/>
    <w:qFormat/>
    <w:rsid w:val="004C1D64"/>
    <w:pPr>
      <w:tabs>
        <w:tab w:val="clear" w:pos="720"/>
      </w:tabs>
      <w:ind w:left="720"/>
      <w:contextualSpacing/>
    </w:pPr>
    <w:rPr>
      <w:rFonts w:ascii="Verdana" w:eastAsia="Calibri" w:hAnsi="Verdana" w:cs="Arial"/>
      <w:sz w:val="18"/>
      <w:szCs w:val="22"/>
      <w:lang w:val="en-GB" w:eastAsia="en-US"/>
    </w:rPr>
  </w:style>
  <w:style w:type="table" w:styleId="TableGrid">
    <w:name w:val="Table Grid"/>
    <w:basedOn w:val="TableNormal"/>
    <w:uiPriority w:val="59"/>
    <w:rsid w:val="0099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95A9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307713"/>
    <w:rPr>
      <w:color w:val="0563C1"/>
      <w:u w:val="single"/>
    </w:rPr>
  </w:style>
  <w:style w:type="character" w:customStyle="1" w:styleId="HeaderChar">
    <w:name w:val="Header Char"/>
    <w:link w:val="Header"/>
    <w:uiPriority w:val="99"/>
    <w:rsid w:val="007B181F"/>
    <w:rPr>
      <w:sz w:val="22"/>
      <w:lang w:val="fr-FR"/>
    </w:rPr>
  </w:style>
  <w:style w:type="character" w:customStyle="1" w:styleId="ui-provider">
    <w:name w:val="ui-provider"/>
    <w:basedOn w:val="DefaultParagraphFont"/>
    <w:rsid w:val="00252222"/>
  </w:style>
  <w:style w:type="character" w:customStyle="1" w:styleId="FooterChar">
    <w:name w:val="Footer Char"/>
    <w:basedOn w:val="DefaultParagraphFont"/>
    <w:link w:val="Footer"/>
    <w:uiPriority w:val="99"/>
    <w:rsid w:val="00E93C74"/>
    <w:rPr>
      <w:sz w:val="22"/>
      <w:lang w:val="fr-FR"/>
    </w:rPr>
  </w:style>
  <w:style w:type="character" w:styleId="UnresolvedMention">
    <w:name w:val="Unresolved Mention"/>
    <w:basedOn w:val="DefaultParagraphFont"/>
    <w:uiPriority w:val="99"/>
    <w:semiHidden/>
    <w:unhideWhenUsed/>
    <w:rsid w:val="0010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7396">
      <w:bodyDiv w:val="1"/>
      <w:marLeft w:val="0"/>
      <w:marRight w:val="0"/>
      <w:marTop w:val="0"/>
      <w:marBottom w:val="0"/>
      <w:divBdr>
        <w:top w:val="none" w:sz="0" w:space="0" w:color="auto"/>
        <w:left w:val="none" w:sz="0" w:space="0" w:color="auto"/>
        <w:bottom w:val="none" w:sz="0" w:space="0" w:color="auto"/>
        <w:right w:val="none" w:sz="0" w:space="0" w:color="auto"/>
      </w:divBdr>
    </w:div>
    <w:div w:id="47732371">
      <w:bodyDiv w:val="1"/>
      <w:marLeft w:val="0"/>
      <w:marRight w:val="0"/>
      <w:marTop w:val="0"/>
      <w:marBottom w:val="0"/>
      <w:divBdr>
        <w:top w:val="none" w:sz="0" w:space="0" w:color="auto"/>
        <w:left w:val="none" w:sz="0" w:space="0" w:color="auto"/>
        <w:bottom w:val="none" w:sz="0" w:space="0" w:color="auto"/>
        <w:right w:val="none" w:sz="0" w:space="0" w:color="auto"/>
      </w:divBdr>
    </w:div>
    <w:div w:id="184489785">
      <w:bodyDiv w:val="1"/>
      <w:marLeft w:val="0"/>
      <w:marRight w:val="0"/>
      <w:marTop w:val="0"/>
      <w:marBottom w:val="0"/>
      <w:divBdr>
        <w:top w:val="none" w:sz="0" w:space="0" w:color="auto"/>
        <w:left w:val="none" w:sz="0" w:space="0" w:color="auto"/>
        <w:bottom w:val="none" w:sz="0" w:space="0" w:color="auto"/>
        <w:right w:val="none" w:sz="0" w:space="0" w:color="auto"/>
      </w:divBdr>
    </w:div>
    <w:div w:id="417749882">
      <w:bodyDiv w:val="1"/>
      <w:marLeft w:val="0"/>
      <w:marRight w:val="0"/>
      <w:marTop w:val="0"/>
      <w:marBottom w:val="0"/>
      <w:divBdr>
        <w:top w:val="none" w:sz="0" w:space="0" w:color="auto"/>
        <w:left w:val="none" w:sz="0" w:space="0" w:color="auto"/>
        <w:bottom w:val="none" w:sz="0" w:space="0" w:color="auto"/>
        <w:right w:val="none" w:sz="0" w:space="0" w:color="auto"/>
      </w:divBdr>
    </w:div>
    <w:div w:id="731543844">
      <w:bodyDiv w:val="1"/>
      <w:marLeft w:val="0"/>
      <w:marRight w:val="0"/>
      <w:marTop w:val="0"/>
      <w:marBottom w:val="0"/>
      <w:divBdr>
        <w:top w:val="none" w:sz="0" w:space="0" w:color="auto"/>
        <w:left w:val="none" w:sz="0" w:space="0" w:color="auto"/>
        <w:bottom w:val="none" w:sz="0" w:space="0" w:color="auto"/>
        <w:right w:val="none" w:sz="0" w:space="0" w:color="auto"/>
      </w:divBdr>
    </w:div>
    <w:div w:id="780799628">
      <w:bodyDiv w:val="1"/>
      <w:marLeft w:val="0"/>
      <w:marRight w:val="0"/>
      <w:marTop w:val="0"/>
      <w:marBottom w:val="0"/>
      <w:divBdr>
        <w:top w:val="none" w:sz="0" w:space="0" w:color="auto"/>
        <w:left w:val="none" w:sz="0" w:space="0" w:color="auto"/>
        <w:bottom w:val="none" w:sz="0" w:space="0" w:color="auto"/>
        <w:right w:val="none" w:sz="0" w:space="0" w:color="auto"/>
      </w:divBdr>
    </w:div>
    <w:div w:id="790704772">
      <w:bodyDiv w:val="1"/>
      <w:marLeft w:val="0"/>
      <w:marRight w:val="0"/>
      <w:marTop w:val="0"/>
      <w:marBottom w:val="0"/>
      <w:divBdr>
        <w:top w:val="none" w:sz="0" w:space="0" w:color="auto"/>
        <w:left w:val="none" w:sz="0" w:space="0" w:color="auto"/>
        <w:bottom w:val="none" w:sz="0" w:space="0" w:color="auto"/>
        <w:right w:val="none" w:sz="0" w:space="0" w:color="auto"/>
      </w:divBdr>
    </w:div>
    <w:div w:id="989095338">
      <w:bodyDiv w:val="1"/>
      <w:marLeft w:val="0"/>
      <w:marRight w:val="0"/>
      <w:marTop w:val="0"/>
      <w:marBottom w:val="0"/>
      <w:divBdr>
        <w:top w:val="none" w:sz="0" w:space="0" w:color="auto"/>
        <w:left w:val="none" w:sz="0" w:space="0" w:color="auto"/>
        <w:bottom w:val="none" w:sz="0" w:space="0" w:color="auto"/>
        <w:right w:val="none" w:sz="0" w:space="0" w:color="auto"/>
      </w:divBdr>
    </w:div>
    <w:div w:id="995960176">
      <w:bodyDiv w:val="1"/>
      <w:marLeft w:val="0"/>
      <w:marRight w:val="0"/>
      <w:marTop w:val="0"/>
      <w:marBottom w:val="0"/>
      <w:divBdr>
        <w:top w:val="none" w:sz="0" w:space="0" w:color="auto"/>
        <w:left w:val="none" w:sz="0" w:space="0" w:color="auto"/>
        <w:bottom w:val="none" w:sz="0" w:space="0" w:color="auto"/>
        <w:right w:val="none" w:sz="0" w:space="0" w:color="auto"/>
      </w:divBdr>
    </w:div>
    <w:div w:id="1255819467">
      <w:bodyDiv w:val="1"/>
      <w:marLeft w:val="0"/>
      <w:marRight w:val="0"/>
      <w:marTop w:val="0"/>
      <w:marBottom w:val="0"/>
      <w:divBdr>
        <w:top w:val="none" w:sz="0" w:space="0" w:color="auto"/>
        <w:left w:val="none" w:sz="0" w:space="0" w:color="auto"/>
        <w:bottom w:val="none" w:sz="0" w:space="0" w:color="auto"/>
        <w:right w:val="none" w:sz="0" w:space="0" w:color="auto"/>
      </w:divBdr>
    </w:div>
    <w:div w:id="1289046336">
      <w:bodyDiv w:val="1"/>
      <w:marLeft w:val="0"/>
      <w:marRight w:val="0"/>
      <w:marTop w:val="0"/>
      <w:marBottom w:val="0"/>
      <w:divBdr>
        <w:top w:val="none" w:sz="0" w:space="0" w:color="auto"/>
        <w:left w:val="none" w:sz="0" w:space="0" w:color="auto"/>
        <w:bottom w:val="none" w:sz="0" w:space="0" w:color="auto"/>
        <w:right w:val="none" w:sz="0" w:space="0" w:color="auto"/>
      </w:divBdr>
    </w:div>
    <w:div w:id="1371035597">
      <w:bodyDiv w:val="1"/>
      <w:marLeft w:val="0"/>
      <w:marRight w:val="0"/>
      <w:marTop w:val="0"/>
      <w:marBottom w:val="0"/>
      <w:divBdr>
        <w:top w:val="none" w:sz="0" w:space="0" w:color="auto"/>
        <w:left w:val="none" w:sz="0" w:space="0" w:color="auto"/>
        <w:bottom w:val="none" w:sz="0" w:space="0" w:color="auto"/>
        <w:right w:val="none" w:sz="0" w:space="0" w:color="auto"/>
      </w:divBdr>
    </w:div>
    <w:div w:id="1447582818">
      <w:bodyDiv w:val="1"/>
      <w:marLeft w:val="0"/>
      <w:marRight w:val="0"/>
      <w:marTop w:val="0"/>
      <w:marBottom w:val="0"/>
      <w:divBdr>
        <w:top w:val="none" w:sz="0" w:space="0" w:color="auto"/>
        <w:left w:val="none" w:sz="0" w:space="0" w:color="auto"/>
        <w:bottom w:val="none" w:sz="0" w:space="0" w:color="auto"/>
        <w:right w:val="none" w:sz="0" w:space="0" w:color="auto"/>
      </w:divBdr>
    </w:div>
    <w:div w:id="1488788043">
      <w:bodyDiv w:val="1"/>
      <w:marLeft w:val="0"/>
      <w:marRight w:val="0"/>
      <w:marTop w:val="0"/>
      <w:marBottom w:val="0"/>
      <w:divBdr>
        <w:top w:val="none" w:sz="0" w:space="0" w:color="auto"/>
        <w:left w:val="none" w:sz="0" w:space="0" w:color="auto"/>
        <w:bottom w:val="none" w:sz="0" w:space="0" w:color="auto"/>
        <w:right w:val="none" w:sz="0" w:space="0" w:color="auto"/>
      </w:divBdr>
    </w:div>
    <w:div w:id="1607274301">
      <w:bodyDiv w:val="1"/>
      <w:marLeft w:val="0"/>
      <w:marRight w:val="0"/>
      <w:marTop w:val="0"/>
      <w:marBottom w:val="0"/>
      <w:divBdr>
        <w:top w:val="none" w:sz="0" w:space="0" w:color="auto"/>
        <w:left w:val="none" w:sz="0" w:space="0" w:color="auto"/>
        <w:bottom w:val="none" w:sz="0" w:space="0" w:color="auto"/>
        <w:right w:val="none" w:sz="0" w:space="0" w:color="auto"/>
      </w:divBdr>
    </w:div>
    <w:div w:id="19130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AB00-5893-4882-B109-9E74280E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2025-04-03T10:07:00Z</dcterms:created>
  <dcterms:modified xsi:type="dcterms:W3CDTF">2025-05-26T13:29:00Z</dcterms:modified>
</cp:coreProperties>
</file>