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5A" w:rsidRDefault="00514A5A" w:rsidP="008A7BB6">
      <w:pPr>
        <w:rPr>
          <w:rFonts w:eastAsia="Times New Roman" w:cs="Arial"/>
          <w:b/>
          <w:noProof/>
          <w:szCs w:val="18"/>
          <w:u w:val="single"/>
        </w:rPr>
      </w:pPr>
    </w:p>
    <w:p w:rsidR="00514A5A" w:rsidRDefault="00514A5A" w:rsidP="00514A5A">
      <w:pPr>
        <w:jc w:val="center"/>
        <w:rPr>
          <w:rFonts w:eastAsia="Times New Roman" w:cs="Arial"/>
          <w:b/>
          <w:noProof/>
          <w:szCs w:val="18"/>
          <w:u w:val="single"/>
        </w:rPr>
      </w:pPr>
      <w:r w:rsidRPr="005A5E68">
        <w:rPr>
          <w:noProof/>
          <w:szCs w:val="18"/>
          <w:lang w:val="en-US"/>
        </w:rPr>
        <w:drawing>
          <wp:inline distT="0" distB="0" distL="0" distR="0" wp14:anchorId="10ECC66D" wp14:editId="6684F439">
            <wp:extent cx="33432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5A" w:rsidRDefault="00514A5A" w:rsidP="008A7BB6">
      <w:pPr>
        <w:rPr>
          <w:rFonts w:eastAsia="Times New Roman" w:cs="Arial"/>
          <w:b/>
          <w:noProof/>
          <w:szCs w:val="18"/>
          <w:u w:val="single"/>
        </w:rPr>
      </w:pPr>
    </w:p>
    <w:p w:rsidR="00514A5A" w:rsidRDefault="00514A5A" w:rsidP="00514A5A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845C39" w:rsidRDefault="0079480E" w:rsidP="00514A5A">
      <w:p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nATIONAL WORKSHOP ON TRADE IN SERVICES AND THE GATS </w:t>
      </w:r>
    </w:p>
    <w:p w:rsidR="0079480E" w:rsidRDefault="0079480E" w:rsidP="00514A5A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F80A97" w:rsidRDefault="00F80A97" w:rsidP="00514A5A">
      <w:p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BANDUNG, Indonesia</w:t>
      </w:r>
    </w:p>
    <w:p w:rsidR="00F80A97" w:rsidRDefault="00F80A97" w:rsidP="00514A5A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514A5A" w:rsidRPr="0038307B" w:rsidRDefault="00F80A97" w:rsidP="00514A5A">
      <w:p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3-5 </w:t>
      </w:r>
      <w:r w:rsidR="0079480E">
        <w:rPr>
          <w:rFonts w:asciiTheme="minorHAnsi" w:hAnsiTheme="minorHAnsi"/>
          <w:b/>
          <w:caps/>
          <w:sz w:val="24"/>
          <w:szCs w:val="24"/>
        </w:rPr>
        <w:t>September</w:t>
      </w:r>
      <w:r w:rsidR="00514A5A">
        <w:rPr>
          <w:rFonts w:asciiTheme="minorHAnsi" w:hAnsiTheme="minorHAnsi"/>
          <w:b/>
          <w:caps/>
          <w:sz w:val="24"/>
          <w:szCs w:val="24"/>
        </w:rPr>
        <w:t xml:space="preserve"> 2019</w:t>
      </w:r>
    </w:p>
    <w:p w:rsidR="00845C39" w:rsidRPr="0038307B" w:rsidRDefault="00845C39" w:rsidP="00514A5A">
      <w:pPr>
        <w:rPr>
          <w:rFonts w:asciiTheme="minorHAnsi" w:hAnsiTheme="minorHAnsi"/>
          <w:caps/>
          <w:sz w:val="22"/>
        </w:rPr>
      </w:pPr>
    </w:p>
    <w:p w:rsidR="00514A5A" w:rsidRPr="007D09A2" w:rsidRDefault="00514A5A" w:rsidP="00514A5A">
      <w:pPr>
        <w:jc w:val="center"/>
        <w:rPr>
          <w:rFonts w:asciiTheme="minorHAnsi" w:hAnsiTheme="minorHAnsi"/>
          <w:b/>
          <w:sz w:val="22"/>
          <w:u w:val="single"/>
        </w:rPr>
      </w:pPr>
      <w:r w:rsidRPr="007D09A2">
        <w:rPr>
          <w:rFonts w:asciiTheme="minorHAnsi" w:hAnsiTheme="minorHAnsi"/>
          <w:b/>
          <w:sz w:val="22"/>
          <w:u w:val="single"/>
        </w:rPr>
        <w:t>Programme</w:t>
      </w:r>
    </w:p>
    <w:p w:rsidR="00514A5A" w:rsidRDefault="00514A5A" w:rsidP="00514A5A">
      <w:pPr>
        <w:rPr>
          <w:rFonts w:asciiTheme="minorHAnsi" w:hAnsiTheme="minorHAnsi"/>
          <w:b/>
          <w:sz w:val="22"/>
        </w:rPr>
      </w:pPr>
    </w:p>
    <w:p w:rsidR="00670995" w:rsidRDefault="00670995" w:rsidP="00514A5A">
      <w:pPr>
        <w:rPr>
          <w:rFonts w:asciiTheme="minorHAnsi" w:hAnsiTheme="minorHAnsi"/>
          <w:b/>
          <w:sz w:val="22"/>
        </w:rPr>
      </w:pPr>
    </w:p>
    <w:p w:rsidR="00670995" w:rsidRPr="0038307B" w:rsidRDefault="00670995" w:rsidP="00514A5A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514A5A" w:rsidRPr="0038307B" w:rsidTr="009C6AB1">
        <w:tc>
          <w:tcPr>
            <w:tcW w:w="9242" w:type="dxa"/>
            <w:shd w:val="clear" w:color="auto" w:fill="95B3D7" w:themeFill="accent1" w:themeFillTint="99"/>
          </w:tcPr>
          <w:p w:rsidR="00514A5A" w:rsidRPr="0038307B" w:rsidRDefault="00514A5A" w:rsidP="009C6AB1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  <w:bookmarkStart w:id="0" w:name="_Hlk9609945"/>
          </w:p>
          <w:p w:rsidR="00514A5A" w:rsidRPr="0038307B" w:rsidRDefault="00F80A97" w:rsidP="009C6AB1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Tuesday, 3 </w:t>
            </w:r>
            <w:r w:rsidR="00EC2FAB">
              <w:rPr>
                <w:rFonts w:asciiTheme="minorHAnsi" w:hAnsiTheme="minorHAnsi"/>
                <w:b/>
                <w:sz w:val="22"/>
              </w:rPr>
              <w:t>September 2019</w:t>
            </w:r>
          </w:p>
          <w:p w:rsidR="00514A5A" w:rsidRPr="0038307B" w:rsidRDefault="00514A5A" w:rsidP="009C6AB1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:rsidR="00514A5A" w:rsidRPr="0038307B" w:rsidRDefault="00514A5A" w:rsidP="00514A5A">
      <w:pPr>
        <w:rPr>
          <w:rFonts w:asciiTheme="minorHAnsi" w:hAnsiTheme="minorHAnsi"/>
          <w:sz w:val="22"/>
        </w:rPr>
      </w:pPr>
    </w:p>
    <w:p w:rsidR="006962C3" w:rsidRDefault="006962C3" w:rsidP="008A7BB6">
      <w:pPr>
        <w:rPr>
          <w:rFonts w:eastAsia="Calibri" w:cs="Arial"/>
          <w:b/>
          <w:szCs w:val="18"/>
        </w:rPr>
      </w:pPr>
    </w:p>
    <w:p w:rsidR="0079480E" w:rsidRDefault="006962C3" w:rsidP="006962C3">
      <w:pPr>
        <w:rPr>
          <w:rFonts w:eastAsia="Calibri" w:cs="Arial"/>
          <w:i/>
          <w:szCs w:val="18"/>
        </w:rPr>
      </w:pPr>
      <w:r w:rsidRPr="006962C3">
        <w:rPr>
          <w:rFonts w:eastAsia="Calibri" w:cs="Arial"/>
          <w:i/>
          <w:szCs w:val="18"/>
        </w:rPr>
        <w:t>Morning</w:t>
      </w:r>
      <w:r w:rsidR="0079480E">
        <w:rPr>
          <w:rFonts w:eastAsia="Calibri" w:cs="Arial"/>
          <w:i/>
          <w:szCs w:val="18"/>
        </w:rPr>
        <w:t xml:space="preserve"> Session</w:t>
      </w:r>
    </w:p>
    <w:p w:rsidR="0079480E" w:rsidRDefault="0079480E" w:rsidP="006962C3">
      <w:pPr>
        <w:rPr>
          <w:rFonts w:eastAsia="Calibri" w:cs="Arial"/>
          <w:i/>
          <w:szCs w:val="18"/>
        </w:rPr>
      </w:pPr>
    </w:p>
    <w:p w:rsidR="00EC2FAB" w:rsidRDefault="00EC2FAB" w:rsidP="006962C3">
      <w:pPr>
        <w:rPr>
          <w:rFonts w:eastAsia="Calibri" w:cs="Arial"/>
          <w:i/>
          <w:szCs w:val="18"/>
        </w:rPr>
      </w:pPr>
    </w:p>
    <w:p w:rsidR="00EC2FAB" w:rsidRDefault="00EC2FAB" w:rsidP="006962C3">
      <w:pPr>
        <w:rPr>
          <w:rFonts w:eastAsia="Calibri" w:cs="Arial"/>
          <w:i/>
          <w:szCs w:val="18"/>
        </w:rPr>
      </w:pPr>
    </w:p>
    <w:p w:rsidR="006962C3" w:rsidRDefault="0079480E" w:rsidP="006962C3">
      <w:pPr>
        <w:rPr>
          <w:rFonts w:eastAsia="Calibri" w:cs="Arial"/>
          <w:b/>
          <w:i/>
          <w:szCs w:val="18"/>
        </w:rPr>
      </w:pPr>
      <w:r>
        <w:rPr>
          <w:rFonts w:eastAsia="Calibri" w:cs="Arial"/>
          <w:i/>
          <w:szCs w:val="18"/>
        </w:rPr>
        <w:tab/>
      </w:r>
      <w:r w:rsidRPr="0079480E">
        <w:rPr>
          <w:rFonts w:eastAsia="Calibri" w:cs="Arial"/>
          <w:b/>
          <w:i/>
          <w:szCs w:val="18"/>
        </w:rPr>
        <w:t xml:space="preserve">Opening  </w:t>
      </w:r>
      <w:r w:rsidR="006962C3" w:rsidRPr="0079480E">
        <w:rPr>
          <w:rFonts w:eastAsia="Calibri" w:cs="Arial"/>
          <w:b/>
          <w:i/>
          <w:szCs w:val="18"/>
        </w:rPr>
        <w:t xml:space="preserve"> </w:t>
      </w:r>
      <w:r w:rsidRPr="0079480E">
        <w:rPr>
          <w:rFonts w:eastAsia="Calibri" w:cs="Arial"/>
          <w:b/>
          <w:i/>
          <w:szCs w:val="18"/>
        </w:rPr>
        <w:t xml:space="preserve"> </w:t>
      </w:r>
    </w:p>
    <w:p w:rsidR="0079480E" w:rsidRDefault="0079480E" w:rsidP="006962C3">
      <w:pPr>
        <w:rPr>
          <w:rFonts w:eastAsia="Calibri" w:cs="Arial"/>
          <w:b/>
          <w:i/>
          <w:szCs w:val="18"/>
        </w:rPr>
      </w:pPr>
    </w:p>
    <w:p w:rsidR="0079480E" w:rsidRDefault="0079480E" w:rsidP="006962C3">
      <w:pPr>
        <w:rPr>
          <w:rFonts w:eastAsia="Calibri" w:cs="Arial"/>
          <w:b/>
          <w:i/>
          <w:szCs w:val="18"/>
        </w:rPr>
      </w:pPr>
    </w:p>
    <w:p w:rsidR="00130406" w:rsidRPr="0079480E" w:rsidRDefault="00130406" w:rsidP="0079480E">
      <w:pPr>
        <w:ind w:left="60" w:firstLine="507"/>
        <w:rPr>
          <w:b/>
          <w:i/>
          <w:szCs w:val="18"/>
        </w:rPr>
      </w:pPr>
      <w:r w:rsidRPr="0079480E">
        <w:rPr>
          <w:b/>
          <w:i/>
          <w:szCs w:val="18"/>
        </w:rPr>
        <w:t xml:space="preserve">Key Trends in Trade in Services </w:t>
      </w:r>
      <w:r w:rsidRPr="0079480E">
        <w:rPr>
          <w:b/>
          <w:i/>
          <w:szCs w:val="18"/>
        </w:rPr>
        <w:tab/>
      </w:r>
      <w:r w:rsidRPr="0079480E">
        <w:rPr>
          <w:b/>
          <w:i/>
          <w:szCs w:val="18"/>
        </w:rPr>
        <w:tab/>
      </w:r>
      <w:r w:rsidRPr="0079480E">
        <w:rPr>
          <w:b/>
          <w:i/>
          <w:szCs w:val="18"/>
        </w:rPr>
        <w:tab/>
      </w:r>
      <w:r w:rsidR="00810915" w:rsidRPr="0079480E">
        <w:rPr>
          <w:b/>
          <w:i/>
          <w:szCs w:val="18"/>
        </w:rPr>
        <w:t xml:space="preserve">    </w:t>
      </w:r>
      <w:r w:rsidRPr="0079480E">
        <w:rPr>
          <w:b/>
          <w:i/>
          <w:szCs w:val="18"/>
        </w:rPr>
        <w:t xml:space="preserve">   </w:t>
      </w:r>
      <w:r w:rsidR="0079480E" w:rsidRPr="0079480E">
        <w:rPr>
          <w:b/>
          <w:i/>
          <w:color w:val="548DD4" w:themeColor="text2" w:themeTint="99"/>
          <w:szCs w:val="18"/>
        </w:rPr>
        <w:t xml:space="preserve"> </w:t>
      </w:r>
      <w:r w:rsidR="00670995">
        <w:rPr>
          <w:b/>
          <w:i/>
          <w:color w:val="548DD4" w:themeColor="text2" w:themeTint="99"/>
          <w:szCs w:val="18"/>
        </w:rPr>
        <w:tab/>
      </w:r>
      <w:r w:rsidR="00670995">
        <w:rPr>
          <w:b/>
          <w:i/>
          <w:color w:val="548DD4" w:themeColor="text2" w:themeTint="99"/>
          <w:szCs w:val="18"/>
        </w:rPr>
        <w:tab/>
      </w:r>
      <w:r w:rsidR="00670995">
        <w:rPr>
          <w:b/>
          <w:i/>
          <w:color w:val="548DD4" w:themeColor="text2" w:themeTint="99"/>
          <w:szCs w:val="18"/>
        </w:rPr>
        <w:tab/>
        <w:t xml:space="preserve">         M. Roy, WTO</w:t>
      </w:r>
    </w:p>
    <w:p w:rsidR="00130406" w:rsidRPr="00060154" w:rsidRDefault="00130406" w:rsidP="00060154">
      <w:pPr>
        <w:tabs>
          <w:tab w:val="left" w:pos="720"/>
        </w:tabs>
        <w:rPr>
          <w:rFonts w:eastAsia="Calibri" w:cs="Arial"/>
          <w:szCs w:val="18"/>
        </w:rPr>
      </w:pPr>
    </w:p>
    <w:p w:rsidR="00514A5A" w:rsidRDefault="006D54E0" w:rsidP="00514A5A">
      <w:pPr>
        <w:numPr>
          <w:ilvl w:val="0"/>
          <w:numId w:val="18"/>
        </w:numPr>
        <w:tabs>
          <w:tab w:val="clear" w:pos="1494"/>
          <w:tab w:val="num" w:pos="567"/>
          <w:tab w:val="num" w:pos="1843"/>
          <w:tab w:val="num" w:pos="2204"/>
        </w:tabs>
        <w:ind w:left="1560" w:hanging="567"/>
        <w:rPr>
          <w:b/>
          <w:szCs w:val="18"/>
        </w:rPr>
      </w:pPr>
      <w:r w:rsidRPr="004B7694">
        <w:rPr>
          <w:szCs w:val="18"/>
        </w:rPr>
        <w:t>Key trends and evolution of trade in services</w:t>
      </w:r>
    </w:p>
    <w:p w:rsidR="00514A5A" w:rsidRDefault="006D54E0" w:rsidP="00514A5A">
      <w:pPr>
        <w:numPr>
          <w:ilvl w:val="0"/>
          <w:numId w:val="18"/>
        </w:numPr>
        <w:tabs>
          <w:tab w:val="clear" w:pos="1494"/>
          <w:tab w:val="num" w:pos="567"/>
          <w:tab w:val="num" w:pos="1843"/>
          <w:tab w:val="num" w:pos="2204"/>
        </w:tabs>
        <w:ind w:left="1560" w:hanging="567"/>
        <w:rPr>
          <w:b/>
          <w:szCs w:val="18"/>
        </w:rPr>
      </w:pPr>
      <w:r w:rsidRPr="00514A5A">
        <w:rPr>
          <w:szCs w:val="18"/>
        </w:rPr>
        <w:t xml:space="preserve">The broader role of services in trade </w:t>
      </w:r>
      <w:r w:rsidR="0079480E">
        <w:rPr>
          <w:szCs w:val="18"/>
        </w:rPr>
        <w:t>and economic development</w:t>
      </w:r>
      <w:r w:rsidRPr="00514A5A">
        <w:rPr>
          <w:szCs w:val="18"/>
        </w:rPr>
        <w:t xml:space="preserve"> </w:t>
      </w:r>
    </w:p>
    <w:p w:rsidR="00514A5A" w:rsidRDefault="006D54E0" w:rsidP="00514A5A">
      <w:pPr>
        <w:numPr>
          <w:ilvl w:val="0"/>
          <w:numId w:val="18"/>
        </w:numPr>
        <w:tabs>
          <w:tab w:val="clear" w:pos="1494"/>
          <w:tab w:val="num" w:pos="567"/>
          <w:tab w:val="num" w:pos="1843"/>
          <w:tab w:val="num" w:pos="2204"/>
        </w:tabs>
        <w:ind w:left="1560" w:hanging="567"/>
        <w:rPr>
          <w:b/>
          <w:szCs w:val="18"/>
        </w:rPr>
      </w:pPr>
      <w:r w:rsidRPr="00514A5A">
        <w:rPr>
          <w:szCs w:val="18"/>
        </w:rPr>
        <w:t xml:space="preserve">Overview of barriers to trade in services </w:t>
      </w:r>
    </w:p>
    <w:p w:rsidR="006D54E0" w:rsidRDefault="006D54E0" w:rsidP="0079480E">
      <w:pPr>
        <w:tabs>
          <w:tab w:val="num" w:pos="1843"/>
          <w:tab w:val="num" w:pos="2204"/>
        </w:tabs>
        <w:rPr>
          <w:szCs w:val="18"/>
        </w:rPr>
      </w:pPr>
    </w:p>
    <w:p w:rsidR="00EC2FAB" w:rsidRDefault="00EC2FAB" w:rsidP="0079480E">
      <w:pPr>
        <w:tabs>
          <w:tab w:val="num" w:pos="1843"/>
          <w:tab w:val="num" w:pos="2204"/>
        </w:tabs>
        <w:rPr>
          <w:szCs w:val="18"/>
        </w:rPr>
      </w:pPr>
    </w:p>
    <w:p w:rsidR="00EC2FAB" w:rsidRDefault="00EC2FAB" w:rsidP="00EC2FAB">
      <w:pPr>
        <w:tabs>
          <w:tab w:val="left" w:pos="0"/>
        </w:tabs>
        <w:spacing w:before="120" w:after="120"/>
        <w:ind w:firstLine="567"/>
        <w:jc w:val="left"/>
        <w:rPr>
          <w:rFonts w:eastAsia="Batang" w:cs="Arial"/>
          <w:b/>
          <w:noProof/>
          <w:szCs w:val="18"/>
        </w:rPr>
      </w:pPr>
      <w:r>
        <w:rPr>
          <w:rFonts w:eastAsia="Batang" w:cs="Arial"/>
          <w:b/>
          <w:noProof/>
          <w:szCs w:val="18"/>
        </w:rPr>
        <w:t>[Presentation by Indonesian official on the role of trade in services in the country]</w:t>
      </w:r>
    </w:p>
    <w:p w:rsidR="0079480E" w:rsidRDefault="0079480E" w:rsidP="0079480E">
      <w:pPr>
        <w:tabs>
          <w:tab w:val="num" w:pos="1843"/>
          <w:tab w:val="num" w:pos="2204"/>
        </w:tabs>
        <w:rPr>
          <w:b/>
          <w:szCs w:val="18"/>
        </w:rPr>
      </w:pPr>
    </w:p>
    <w:p w:rsidR="00EC2FAB" w:rsidRDefault="00EC2FAB" w:rsidP="0079480E">
      <w:pPr>
        <w:tabs>
          <w:tab w:val="num" w:pos="1843"/>
          <w:tab w:val="num" w:pos="2204"/>
        </w:tabs>
        <w:rPr>
          <w:b/>
          <w:szCs w:val="18"/>
        </w:rPr>
      </w:pPr>
    </w:p>
    <w:p w:rsidR="006D54E0" w:rsidRDefault="00571FF3" w:rsidP="0079480E">
      <w:pPr>
        <w:tabs>
          <w:tab w:val="num" w:pos="0"/>
        </w:tabs>
        <w:ind w:firstLine="567"/>
        <w:rPr>
          <w:rFonts w:eastAsia="Batang" w:cs="Arial"/>
          <w:b/>
          <w:noProof/>
          <w:szCs w:val="18"/>
        </w:rPr>
      </w:pPr>
      <w:r w:rsidRPr="004B7694">
        <w:rPr>
          <w:rFonts w:eastAsia="Batang" w:cs="Arial"/>
          <w:b/>
          <w:noProof/>
          <w:szCs w:val="18"/>
        </w:rPr>
        <w:t xml:space="preserve">An </w:t>
      </w:r>
      <w:r w:rsidR="0079480E">
        <w:rPr>
          <w:rFonts w:eastAsia="Batang" w:cs="Arial"/>
          <w:b/>
          <w:noProof/>
          <w:szCs w:val="18"/>
        </w:rPr>
        <w:t xml:space="preserve">Overview of the GATS </w:t>
      </w:r>
      <w:r w:rsidR="006D54E0" w:rsidRPr="004B7694">
        <w:rPr>
          <w:rFonts w:eastAsia="Batang" w:cs="Arial"/>
          <w:b/>
          <w:noProof/>
          <w:szCs w:val="18"/>
        </w:rPr>
        <w:t xml:space="preserve"> </w:t>
      </w:r>
      <w:r w:rsidR="006D54E0" w:rsidRPr="004B7694">
        <w:rPr>
          <w:rFonts w:eastAsia="Batang" w:cs="Arial"/>
          <w:b/>
          <w:noProof/>
          <w:szCs w:val="18"/>
        </w:rPr>
        <w:tab/>
      </w:r>
      <w:r w:rsidR="00514A5A">
        <w:rPr>
          <w:rFonts w:eastAsia="Batang" w:cs="Arial"/>
          <w:b/>
          <w:noProof/>
          <w:szCs w:val="18"/>
        </w:rPr>
        <w:tab/>
      </w:r>
      <w:r w:rsidR="00514A5A">
        <w:rPr>
          <w:rFonts w:eastAsia="Batang" w:cs="Arial"/>
          <w:b/>
          <w:noProof/>
          <w:szCs w:val="18"/>
        </w:rPr>
        <w:tab/>
        <w:t xml:space="preserve">   </w:t>
      </w:r>
      <w:r w:rsidR="0079480E">
        <w:rPr>
          <w:rFonts w:eastAsia="Batang" w:cs="Arial"/>
          <w:b/>
          <w:noProof/>
          <w:color w:val="548DD4" w:themeColor="text2" w:themeTint="99"/>
          <w:szCs w:val="18"/>
        </w:rPr>
        <w:t xml:space="preserve"> </w:t>
      </w:r>
      <w:r w:rsidR="00670995">
        <w:rPr>
          <w:rFonts w:eastAsia="Batang" w:cs="Arial"/>
          <w:b/>
          <w:noProof/>
          <w:color w:val="548DD4" w:themeColor="text2" w:themeTint="99"/>
          <w:szCs w:val="18"/>
        </w:rPr>
        <w:tab/>
      </w:r>
      <w:r w:rsidR="00670995">
        <w:rPr>
          <w:rFonts w:eastAsia="Batang" w:cs="Arial"/>
          <w:b/>
          <w:noProof/>
          <w:color w:val="548DD4" w:themeColor="text2" w:themeTint="99"/>
          <w:szCs w:val="18"/>
        </w:rPr>
        <w:tab/>
      </w:r>
      <w:r w:rsidR="00670995">
        <w:rPr>
          <w:rFonts w:eastAsia="Batang" w:cs="Arial"/>
          <w:b/>
          <w:noProof/>
          <w:color w:val="548DD4" w:themeColor="text2" w:themeTint="99"/>
          <w:szCs w:val="18"/>
        </w:rPr>
        <w:tab/>
      </w:r>
      <w:r w:rsidR="00670995">
        <w:rPr>
          <w:rFonts w:eastAsia="Batang" w:cs="Arial"/>
          <w:b/>
          <w:noProof/>
          <w:color w:val="548DD4" w:themeColor="text2" w:themeTint="99"/>
          <w:szCs w:val="18"/>
        </w:rPr>
        <w:tab/>
      </w:r>
      <w:r w:rsidR="00670995">
        <w:rPr>
          <w:rFonts w:eastAsia="Batang" w:cs="Arial"/>
          <w:b/>
          <w:noProof/>
          <w:color w:val="548DD4" w:themeColor="text2" w:themeTint="99"/>
          <w:szCs w:val="18"/>
        </w:rPr>
        <w:tab/>
        <w:t xml:space="preserve">    </w:t>
      </w:r>
      <w:r w:rsidR="00670995" w:rsidRPr="00670995">
        <w:rPr>
          <w:rFonts w:eastAsia="Batang" w:cs="Arial"/>
          <w:b/>
          <w:i/>
          <w:noProof/>
          <w:color w:val="548DD4" w:themeColor="text2" w:themeTint="99"/>
          <w:szCs w:val="18"/>
        </w:rPr>
        <w:t>J. Lan, WTO</w:t>
      </w:r>
    </w:p>
    <w:p w:rsidR="00810915" w:rsidRPr="004B7694" w:rsidRDefault="00810915" w:rsidP="00130406">
      <w:pPr>
        <w:tabs>
          <w:tab w:val="num" w:pos="2204"/>
        </w:tabs>
        <w:rPr>
          <w:rFonts w:eastAsia="Batang" w:cs="Arial"/>
          <w:b/>
          <w:noProof/>
          <w:szCs w:val="18"/>
        </w:rPr>
      </w:pPr>
    </w:p>
    <w:p w:rsidR="006962C3" w:rsidRDefault="006D54E0" w:rsidP="006962C3">
      <w:pPr>
        <w:numPr>
          <w:ilvl w:val="1"/>
          <w:numId w:val="20"/>
        </w:numPr>
        <w:tabs>
          <w:tab w:val="left" w:pos="1701"/>
        </w:tabs>
        <w:ind w:left="1418" w:hanging="425"/>
        <w:rPr>
          <w:b/>
          <w:szCs w:val="18"/>
        </w:rPr>
      </w:pPr>
      <w:r w:rsidRPr="004B7694">
        <w:rPr>
          <w:szCs w:val="18"/>
        </w:rPr>
        <w:t>Legal architecture of the GATS</w:t>
      </w:r>
    </w:p>
    <w:p w:rsidR="006962C3" w:rsidRDefault="006D54E0" w:rsidP="006962C3">
      <w:pPr>
        <w:numPr>
          <w:ilvl w:val="1"/>
          <w:numId w:val="20"/>
        </w:numPr>
        <w:tabs>
          <w:tab w:val="left" w:pos="1701"/>
        </w:tabs>
        <w:ind w:left="1418" w:hanging="425"/>
        <w:rPr>
          <w:b/>
          <w:szCs w:val="18"/>
        </w:rPr>
      </w:pPr>
      <w:r w:rsidRPr="006962C3">
        <w:rPr>
          <w:szCs w:val="18"/>
        </w:rPr>
        <w:t>Definitions and scope of application of the GATS: modes of supply</w:t>
      </w:r>
    </w:p>
    <w:p w:rsidR="006962C3" w:rsidRDefault="006D54E0" w:rsidP="006962C3">
      <w:pPr>
        <w:numPr>
          <w:ilvl w:val="1"/>
          <w:numId w:val="20"/>
        </w:numPr>
        <w:tabs>
          <w:tab w:val="left" w:pos="1701"/>
        </w:tabs>
        <w:ind w:left="1418" w:hanging="425"/>
        <w:rPr>
          <w:b/>
          <w:szCs w:val="18"/>
        </w:rPr>
      </w:pPr>
      <w:r w:rsidRPr="006962C3">
        <w:rPr>
          <w:szCs w:val="18"/>
        </w:rPr>
        <w:t>Most-Favoured-Nation Treatment and MFN exemptions</w:t>
      </w:r>
    </w:p>
    <w:p w:rsidR="0079480E" w:rsidRDefault="006D54E0" w:rsidP="00EC2FAB">
      <w:pPr>
        <w:numPr>
          <w:ilvl w:val="1"/>
          <w:numId w:val="20"/>
        </w:numPr>
        <w:tabs>
          <w:tab w:val="left" w:pos="1701"/>
        </w:tabs>
        <w:ind w:left="1418" w:hanging="425"/>
        <w:rPr>
          <w:b/>
          <w:szCs w:val="18"/>
        </w:rPr>
      </w:pPr>
      <w:r w:rsidRPr="006962C3">
        <w:rPr>
          <w:szCs w:val="18"/>
        </w:rPr>
        <w:t xml:space="preserve">Conditional and unconditional obligations </w:t>
      </w:r>
    </w:p>
    <w:p w:rsidR="00EC2FAB" w:rsidRPr="00EC2FAB" w:rsidRDefault="00EC2FAB" w:rsidP="00CE6C2E">
      <w:pPr>
        <w:tabs>
          <w:tab w:val="left" w:pos="1701"/>
        </w:tabs>
        <w:ind w:left="1418"/>
        <w:rPr>
          <w:b/>
          <w:szCs w:val="18"/>
        </w:rPr>
      </w:pPr>
    </w:p>
    <w:p w:rsidR="00130406" w:rsidRPr="00130406" w:rsidRDefault="00514A5A" w:rsidP="00130406">
      <w:pPr>
        <w:tabs>
          <w:tab w:val="left" w:pos="720"/>
        </w:tabs>
        <w:spacing w:before="120" w:after="120"/>
        <w:jc w:val="left"/>
        <w:rPr>
          <w:rFonts w:eastAsia="Batang" w:cs="Arial"/>
          <w:i/>
          <w:noProof/>
          <w:szCs w:val="18"/>
        </w:rPr>
      </w:pPr>
      <w:r>
        <w:rPr>
          <w:rFonts w:eastAsia="Batang" w:cs="Arial"/>
          <w:i/>
          <w:noProof/>
          <w:szCs w:val="18"/>
        </w:rPr>
        <w:t>L</w:t>
      </w:r>
      <w:r w:rsidR="00130406" w:rsidRPr="00130406">
        <w:rPr>
          <w:rFonts w:eastAsia="Batang" w:cs="Arial"/>
          <w:i/>
          <w:noProof/>
          <w:szCs w:val="18"/>
        </w:rPr>
        <w:t>unch</w:t>
      </w:r>
    </w:p>
    <w:p w:rsidR="006D54E0" w:rsidRDefault="006D54E0" w:rsidP="00810915">
      <w:pPr>
        <w:tabs>
          <w:tab w:val="left" w:pos="720"/>
        </w:tabs>
        <w:spacing w:before="120" w:after="120"/>
        <w:jc w:val="left"/>
        <w:rPr>
          <w:rFonts w:eastAsia="Batang" w:cs="Arial"/>
          <w:b/>
          <w:noProof/>
          <w:szCs w:val="18"/>
        </w:rPr>
      </w:pPr>
    </w:p>
    <w:p w:rsidR="0079480E" w:rsidRPr="0079480E" w:rsidRDefault="0079480E" w:rsidP="00810915">
      <w:pPr>
        <w:tabs>
          <w:tab w:val="left" w:pos="720"/>
        </w:tabs>
        <w:spacing w:before="120" w:after="120"/>
        <w:jc w:val="left"/>
        <w:rPr>
          <w:rFonts w:eastAsia="Batang" w:cs="Arial"/>
          <w:i/>
          <w:noProof/>
          <w:szCs w:val="18"/>
        </w:rPr>
      </w:pPr>
      <w:r w:rsidRPr="0079480E">
        <w:rPr>
          <w:rFonts w:eastAsia="Batang" w:cs="Arial"/>
          <w:i/>
          <w:noProof/>
          <w:szCs w:val="18"/>
        </w:rPr>
        <w:t>Afternoon Session</w:t>
      </w:r>
    </w:p>
    <w:p w:rsidR="0079480E" w:rsidRDefault="0079480E" w:rsidP="00810915">
      <w:pPr>
        <w:tabs>
          <w:tab w:val="left" w:pos="720"/>
        </w:tabs>
        <w:spacing w:before="120" w:after="120"/>
        <w:jc w:val="left"/>
        <w:rPr>
          <w:rFonts w:eastAsia="Batang" w:cs="Arial"/>
          <w:b/>
          <w:noProof/>
          <w:szCs w:val="18"/>
        </w:rPr>
      </w:pPr>
    </w:p>
    <w:p w:rsidR="00EC2FAB" w:rsidRDefault="00EC2FAB" w:rsidP="00810915">
      <w:pPr>
        <w:tabs>
          <w:tab w:val="left" w:pos="720"/>
        </w:tabs>
        <w:spacing w:before="120" w:after="120"/>
        <w:jc w:val="left"/>
        <w:rPr>
          <w:rFonts w:eastAsia="Batang" w:cs="Arial"/>
          <w:b/>
          <w:noProof/>
          <w:szCs w:val="18"/>
        </w:rPr>
      </w:pPr>
      <w:r>
        <w:rPr>
          <w:rFonts w:eastAsia="Batang" w:cs="Arial"/>
          <w:b/>
          <w:noProof/>
          <w:szCs w:val="18"/>
        </w:rPr>
        <w:tab/>
      </w:r>
      <w:r w:rsidRPr="004B7694">
        <w:rPr>
          <w:rFonts w:eastAsia="Batang" w:cs="Arial"/>
          <w:b/>
          <w:noProof/>
          <w:szCs w:val="18"/>
        </w:rPr>
        <w:t xml:space="preserve">An </w:t>
      </w:r>
      <w:r>
        <w:rPr>
          <w:rFonts w:eastAsia="Batang" w:cs="Arial"/>
          <w:b/>
          <w:noProof/>
          <w:szCs w:val="18"/>
        </w:rPr>
        <w:t xml:space="preserve">Overview of the GATS </w:t>
      </w:r>
      <w:r w:rsidRPr="004B7694">
        <w:rPr>
          <w:rFonts w:eastAsia="Batang" w:cs="Arial"/>
          <w:b/>
          <w:noProof/>
          <w:szCs w:val="18"/>
        </w:rPr>
        <w:t xml:space="preserve"> </w:t>
      </w:r>
      <w:r>
        <w:rPr>
          <w:rFonts w:eastAsia="Batang" w:cs="Arial"/>
          <w:b/>
          <w:noProof/>
          <w:szCs w:val="18"/>
        </w:rPr>
        <w:t xml:space="preserve">- </w:t>
      </w:r>
      <w:r w:rsidRPr="00EC2FAB">
        <w:rPr>
          <w:rFonts w:eastAsia="Batang" w:cs="Arial"/>
          <w:b/>
          <w:i/>
          <w:noProof/>
          <w:szCs w:val="18"/>
        </w:rPr>
        <w:t>continuation</w:t>
      </w:r>
      <w:r w:rsidRPr="00EC2FAB">
        <w:rPr>
          <w:rFonts w:eastAsia="Batang" w:cs="Arial"/>
          <w:b/>
          <w:i/>
          <w:noProof/>
          <w:szCs w:val="18"/>
        </w:rPr>
        <w:tab/>
      </w:r>
      <w:r>
        <w:rPr>
          <w:rFonts w:eastAsia="Batang" w:cs="Arial"/>
          <w:b/>
          <w:noProof/>
          <w:szCs w:val="18"/>
        </w:rPr>
        <w:tab/>
      </w:r>
    </w:p>
    <w:p w:rsidR="00EC2FAB" w:rsidRDefault="00EC2FAB" w:rsidP="00810915">
      <w:pPr>
        <w:tabs>
          <w:tab w:val="left" w:pos="720"/>
        </w:tabs>
        <w:spacing w:before="120" w:after="120"/>
        <w:jc w:val="left"/>
        <w:rPr>
          <w:rFonts w:eastAsia="Batang" w:cs="Arial"/>
          <w:b/>
          <w:noProof/>
          <w:szCs w:val="18"/>
        </w:rPr>
      </w:pPr>
    </w:p>
    <w:p w:rsidR="006D54E0" w:rsidRDefault="00810915" w:rsidP="00810915">
      <w:pPr>
        <w:tabs>
          <w:tab w:val="left" w:pos="720"/>
        </w:tabs>
        <w:spacing w:before="120" w:after="120"/>
        <w:jc w:val="left"/>
        <w:rPr>
          <w:rFonts w:eastAsia="Times New Roman" w:cs="Arial"/>
          <w:b/>
          <w:noProof/>
          <w:color w:val="548DD4" w:themeColor="text2" w:themeTint="99"/>
          <w:szCs w:val="18"/>
        </w:rPr>
      </w:pPr>
      <w:r>
        <w:rPr>
          <w:rFonts w:eastAsia="Batang" w:cs="Arial"/>
          <w:b/>
          <w:noProof/>
          <w:szCs w:val="18"/>
        </w:rPr>
        <w:tab/>
      </w:r>
      <w:r w:rsidR="006D54E0" w:rsidRPr="004B7694">
        <w:rPr>
          <w:rFonts w:eastAsia="Times New Roman" w:cs="Arial"/>
          <w:b/>
          <w:noProof/>
          <w:szCs w:val="18"/>
        </w:rPr>
        <w:t xml:space="preserve">Scheduling of services commitments </w:t>
      </w:r>
      <w:r w:rsidR="006D54E0" w:rsidRPr="004B7694">
        <w:rPr>
          <w:rFonts w:eastAsia="Times New Roman" w:cs="Arial"/>
          <w:b/>
          <w:noProof/>
          <w:szCs w:val="18"/>
        </w:rPr>
        <w:tab/>
      </w:r>
      <w:r w:rsidR="006D54E0" w:rsidRPr="004B7694">
        <w:rPr>
          <w:rFonts w:eastAsia="Times New Roman" w:cs="Arial"/>
          <w:b/>
          <w:noProof/>
          <w:szCs w:val="18"/>
        </w:rPr>
        <w:tab/>
      </w:r>
      <w:r w:rsidR="006D54E0" w:rsidRPr="004B7694">
        <w:rPr>
          <w:rFonts w:eastAsia="Times New Roman" w:cs="Arial"/>
          <w:b/>
          <w:noProof/>
          <w:szCs w:val="18"/>
        </w:rPr>
        <w:tab/>
      </w:r>
      <w:r>
        <w:rPr>
          <w:rFonts w:eastAsia="Times New Roman" w:cs="Arial"/>
          <w:b/>
          <w:noProof/>
          <w:szCs w:val="18"/>
        </w:rPr>
        <w:tab/>
      </w:r>
      <w:r w:rsidR="006D54E0" w:rsidRPr="004B7694">
        <w:rPr>
          <w:rFonts w:eastAsia="Times New Roman" w:cs="Arial"/>
          <w:b/>
          <w:noProof/>
          <w:szCs w:val="18"/>
        </w:rPr>
        <w:tab/>
        <w:t xml:space="preserve">   </w:t>
      </w:r>
      <w:r w:rsidR="00670995">
        <w:rPr>
          <w:rFonts w:eastAsia="Times New Roman" w:cs="Arial"/>
          <w:b/>
          <w:noProof/>
          <w:szCs w:val="18"/>
        </w:rPr>
        <w:t xml:space="preserve">            </w:t>
      </w:r>
      <w:r w:rsidR="00670995" w:rsidRPr="00670995">
        <w:rPr>
          <w:rFonts w:eastAsia="Times New Roman" w:cs="Arial"/>
          <w:b/>
          <w:i/>
          <w:noProof/>
          <w:color w:val="4F81BD" w:themeColor="accent1"/>
          <w:szCs w:val="18"/>
        </w:rPr>
        <w:t>M. Roy, WTO</w:t>
      </w:r>
    </w:p>
    <w:p w:rsidR="00514A5A" w:rsidRDefault="00514A5A" w:rsidP="00514A5A">
      <w:pPr>
        <w:tabs>
          <w:tab w:val="left" w:pos="720"/>
        </w:tabs>
        <w:jc w:val="left"/>
        <w:rPr>
          <w:rFonts w:eastAsia="Times New Roman" w:cs="Arial"/>
          <w:b/>
          <w:noProof/>
          <w:szCs w:val="18"/>
        </w:rPr>
      </w:pPr>
    </w:p>
    <w:p w:rsidR="006962C3" w:rsidRDefault="006D54E0" w:rsidP="006962C3">
      <w:pPr>
        <w:numPr>
          <w:ilvl w:val="1"/>
          <w:numId w:val="20"/>
        </w:numPr>
        <w:ind w:hanging="447"/>
        <w:rPr>
          <w:szCs w:val="18"/>
        </w:rPr>
      </w:pPr>
      <w:r w:rsidRPr="004B7694">
        <w:rPr>
          <w:szCs w:val="18"/>
        </w:rPr>
        <w:lastRenderedPageBreak/>
        <w:t>Market access, national treatment, additional commitments</w:t>
      </w:r>
    </w:p>
    <w:p w:rsidR="006962C3" w:rsidRDefault="006D54E0" w:rsidP="006962C3">
      <w:pPr>
        <w:numPr>
          <w:ilvl w:val="1"/>
          <w:numId w:val="20"/>
        </w:numPr>
        <w:ind w:hanging="447"/>
        <w:rPr>
          <w:szCs w:val="18"/>
          <w:lang w:val="fr-CH"/>
        </w:rPr>
      </w:pPr>
      <w:r w:rsidRPr="006962C3">
        <w:rPr>
          <w:rFonts w:eastAsia="Batang" w:cs="Arial"/>
          <w:noProof/>
          <w:szCs w:val="18"/>
          <w:lang w:val="fr-CH"/>
        </w:rPr>
        <w:t>Classifications: W120, UN CPC, etc.</w:t>
      </w:r>
    </w:p>
    <w:p w:rsidR="006D54E0" w:rsidRPr="0079480E" w:rsidRDefault="006D54E0" w:rsidP="006962C3">
      <w:pPr>
        <w:numPr>
          <w:ilvl w:val="1"/>
          <w:numId w:val="20"/>
        </w:numPr>
        <w:ind w:hanging="447"/>
        <w:rPr>
          <w:szCs w:val="18"/>
          <w:lang w:val="fr-CH"/>
        </w:rPr>
      </w:pPr>
      <w:r w:rsidRPr="006962C3">
        <w:rPr>
          <w:rFonts w:eastAsia="Batang" w:cs="Arial"/>
          <w:noProof/>
          <w:szCs w:val="18"/>
        </w:rPr>
        <w:t>Scheduling guidelines and techniques</w:t>
      </w:r>
    </w:p>
    <w:p w:rsidR="006962C3" w:rsidRDefault="00810915" w:rsidP="006962C3">
      <w:pPr>
        <w:pStyle w:val="ListParagraph"/>
        <w:numPr>
          <w:ilvl w:val="1"/>
          <w:numId w:val="20"/>
        </w:numPr>
        <w:ind w:hanging="447"/>
        <w:rPr>
          <w:rFonts w:eastAsia="Batang" w:cs="Arial"/>
          <w:noProof/>
          <w:szCs w:val="18"/>
          <w:lang w:val="fr-CH"/>
        </w:rPr>
      </w:pPr>
      <w:r w:rsidRPr="004B7694">
        <w:rPr>
          <w:rFonts w:eastAsia="Batang" w:cs="Arial"/>
          <w:noProof/>
          <w:szCs w:val="18"/>
          <w:lang w:val="fr-CH"/>
        </w:rPr>
        <w:t>Scheduling quiz</w:t>
      </w:r>
    </w:p>
    <w:p w:rsidR="0079480E" w:rsidRDefault="0079480E" w:rsidP="0079480E">
      <w:pPr>
        <w:rPr>
          <w:rFonts w:eastAsia="Batang" w:cs="Arial"/>
          <w:noProof/>
          <w:szCs w:val="18"/>
          <w:lang w:val="fr-CH"/>
        </w:rPr>
      </w:pPr>
    </w:p>
    <w:p w:rsidR="00810915" w:rsidRDefault="00810915" w:rsidP="00571FF3">
      <w:pPr>
        <w:rPr>
          <w:b/>
          <w:szCs w:val="18"/>
        </w:rPr>
      </w:pPr>
    </w:p>
    <w:p w:rsidR="0079480E" w:rsidRDefault="0079480E" w:rsidP="00571FF3">
      <w:pPr>
        <w:rPr>
          <w:b/>
          <w:szCs w:val="18"/>
        </w:rPr>
      </w:pPr>
    </w:p>
    <w:p w:rsidR="0079480E" w:rsidRDefault="0079480E" w:rsidP="00571FF3">
      <w:pPr>
        <w:rPr>
          <w:b/>
          <w:szCs w:val="18"/>
        </w:rPr>
      </w:pPr>
    </w:p>
    <w:p w:rsidR="0079480E" w:rsidRDefault="0079480E" w:rsidP="00571FF3">
      <w:pPr>
        <w:rPr>
          <w:b/>
          <w:szCs w:val="18"/>
        </w:rPr>
      </w:pPr>
    </w:p>
    <w:p w:rsidR="00810915" w:rsidRDefault="00810915" w:rsidP="00571FF3">
      <w:pPr>
        <w:rPr>
          <w:b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514A5A" w:rsidRPr="0038307B" w:rsidTr="00514A5A">
        <w:tc>
          <w:tcPr>
            <w:tcW w:w="9026" w:type="dxa"/>
            <w:shd w:val="clear" w:color="auto" w:fill="95B3D7" w:themeFill="accent1" w:themeFillTint="99"/>
          </w:tcPr>
          <w:p w:rsidR="00514A5A" w:rsidRPr="0038307B" w:rsidRDefault="00514A5A" w:rsidP="009C6AB1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:rsidR="00514A5A" w:rsidRPr="0038307B" w:rsidRDefault="00670995" w:rsidP="009C6AB1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Wednesday, 4 September 2019</w:t>
            </w:r>
          </w:p>
          <w:p w:rsidR="00514A5A" w:rsidRPr="0038307B" w:rsidRDefault="00514A5A" w:rsidP="009C6AB1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10915" w:rsidRDefault="00810915" w:rsidP="00571FF3">
      <w:pPr>
        <w:rPr>
          <w:b/>
          <w:szCs w:val="18"/>
        </w:rPr>
      </w:pPr>
    </w:p>
    <w:p w:rsidR="00514A5A" w:rsidRDefault="00514A5A" w:rsidP="00810915">
      <w:pPr>
        <w:rPr>
          <w:szCs w:val="18"/>
        </w:rPr>
      </w:pPr>
    </w:p>
    <w:p w:rsidR="006962C3" w:rsidRPr="006962C3" w:rsidRDefault="006962C3" w:rsidP="006962C3">
      <w:pPr>
        <w:rPr>
          <w:rFonts w:eastAsia="Calibri" w:cs="Arial"/>
          <w:i/>
          <w:szCs w:val="18"/>
        </w:rPr>
      </w:pPr>
      <w:r w:rsidRPr="006962C3">
        <w:rPr>
          <w:rFonts w:eastAsia="Calibri" w:cs="Arial"/>
          <w:i/>
          <w:szCs w:val="18"/>
        </w:rPr>
        <w:t>Morning session</w:t>
      </w:r>
    </w:p>
    <w:p w:rsidR="006962C3" w:rsidRPr="006962C3" w:rsidRDefault="006962C3" w:rsidP="006962C3">
      <w:pPr>
        <w:rPr>
          <w:rFonts w:eastAsia="Calibri" w:cs="Arial"/>
          <w:i/>
          <w:szCs w:val="18"/>
        </w:rPr>
      </w:pPr>
    </w:p>
    <w:p w:rsidR="00571FF3" w:rsidRPr="004B7694" w:rsidRDefault="006D54E0" w:rsidP="0079480E">
      <w:pPr>
        <w:ind w:firstLine="567"/>
        <w:rPr>
          <w:b/>
          <w:szCs w:val="18"/>
        </w:rPr>
      </w:pPr>
      <w:r w:rsidRPr="004B7694">
        <w:rPr>
          <w:b/>
          <w:szCs w:val="18"/>
        </w:rPr>
        <w:t>Practical exercises</w:t>
      </w:r>
      <w:r w:rsidR="0079480E">
        <w:rPr>
          <w:b/>
          <w:szCs w:val="18"/>
        </w:rPr>
        <w:t xml:space="preserve"> on schedul</w:t>
      </w:r>
      <w:r w:rsidR="00670995">
        <w:rPr>
          <w:b/>
          <w:szCs w:val="18"/>
        </w:rPr>
        <w:t xml:space="preserve">es of commitments </w:t>
      </w:r>
      <w:r w:rsidR="00514A5A">
        <w:rPr>
          <w:b/>
          <w:szCs w:val="18"/>
        </w:rPr>
        <w:tab/>
      </w:r>
      <w:r w:rsidR="00514A5A">
        <w:rPr>
          <w:b/>
          <w:szCs w:val="18"/>
        </w:rPr>
        <w:tab/>
      </w:r>
      <w:r w:rsidR="00514A5A">
        <w:rPr>
          <w:b/>
          <w:szCs w:val="18"/>
        </w:rPr>
        <w:tab/>
      </w:r>
      <w:r w:rsidR="00514A5A">
        <w:rPr>
          <w:b/>
          <w:szCs w:val="18"/>
        </w:rPr>
        <w:tab/>
      </w:r>
      <w:r w:rsidR="006962C3">
        <w:rPr>
          <w:b/>
          <w:szCs w:val="18"/>
        </w:rPr>
        <w:t xml:space="preserve">       </w:t>
      </w:r>
      <w:r w:rsidR="0079480E">
        <w:rPr>
          <w:b/>
          <w:color w:val="548DD4" w:themeColor="text2" w:themeTint="99"/>
          <w:szCs w:val="18"/>
        </w:rPr>
        <w:t xml:space="preserve"> </w:t>
      </w:r>
    </w:p>
    <w:p w:rsidR="006D54E0" w:rsidRPr="004B7694" w:rsidRDefault="006D54E0" w:rsidP="006D54E0">
      <w:pPr>
        <w:rPr>
          <w:szCs w:val="18"/>
        </w:rPr>
      </w:pPr>
    </w:p>
    <w:p w:rsidR="006D54E0" w:rsidRPr="004B7694" w:rsidRDefault="006D54E0" w:rsidP="006D54E0">
      <w:pPr>
        <w:pStyle w:val="ListParagraph"/>
        <w:numPr>
          <w:ilvl w:val="0"/>
          <w:numId w:val="21"/>
        </w:numPr>
        <w:rPr>
          <w:szCs w:val="18"/>
        </w:rPr>
      </w:pPr>
      <w:r w:rsidRPr="004B7694">
        <w:rPr>
          <w:rFonts w:eastAsia="Times New Roman" w:cs="Arial"/>
          <w:szCs w:val="18"/>
        </w:rPr>
        <w:t>Participants will undertake an exercise that will enable them to interpret the meaning and implications of trade in services commitments</w:t>
      </w:r>
      <w:r w:rsidR="004B7694" w:rsidRPr="004B7694">
        <w:rPr>
          <w:rFonts w:eastAsia="Times New Roman" w:cs="Arial"/>
          <w:szCs w:val="18"/>
        </w:rPr>
        <w:t>.</w:t>
      </w:r>
    </w:p>
    <w:p w:rsidR="004B7694" w:rsidRDefault="004B7694" w:rsidP="004B7694">
      <w:pPr>
        <w:rPr>
          <w:szCs w:val="18"/>
        </w:rPr>
      </w:pPr>
    </w:p>
    <w:p w:rsidR="00810915" w:rsidRDefault="0079480E" w:rsidP="004B7694">
      <w:pPr>
        <w:rPr>
          <w:szCs w:val="18"/>
        </w:rPr>
      </w:pPr>
      <w:r>
        <w:rPr>
          <w:szCs w:val="18"/>
        </w:rPr>
        <w:t xml:space="preserve"> </w:t>
      </w:r>
      <w:r>
        <w:rPr>
          <w:szCs w:val="18"/>
        </w:rPr>
        <w:tab/>
      </w:r>
    </w:p>
    <w:p w:rsidR="0079480E" w:rsidRPr="0079480E" w:rsidRDefault="0079480E" w:rsidP="0079480E">
      <w:pPr>
        <w:ind w:left="567"/>
        <w:rPr>
          <w:b/>
          <w:szCs w:val="18"/>
        </w:rPr>
      </w:pPr>
      <w:r w:rsidRPr="0079480E">
        <w:rPr>
          <w:b/>
          <w:szCs w:val="18"/>
        </w:rPr>
        <w:t xml:space="preserve">Presentation of Indonesia's </w:t>
      </w:r>
      <w:r>
        <w:rPr>
          <w:b/>
          <w:szCs w:val="18"/>
        </w:rPr>
        <w:t>existing GATS schedule</w:t>
      </w:r>
    </w:p>
    <w:p w:rsidR="00810915" w:rsidRDefault="00810915" w:rsidP="004B7694">
      <w:pPr>
        <w:rPr>
          <w:szCs w:val="18"/>
        </w:rPr>
      </w:pPr>
    </w:p>
    <w:p w:rsidR="00810915" w:rsidRDefault="0079480E" w:rsidP="006962C3">
      <w:pPr>
        <w:ind w:left="1701" w:hanging="567"/>
        <w:rPr>
          <w:b/>
          <w:szCs w:val="18"/>
        </w:rPr>
      </w:pPr>
      <w:r>
        <w:rPr>
          <w:b/>
          <w:szCs w:val="18"/>
        </w:rPr>
        <w:t xml:space="preserve"> </w:t>
      </w:r>
    </w:p>
    <w:p w:rsidR="0079480E" w:rsidRDefault="0079480E" w:rsidP="006962C3">
      <w:pPr>
        <w:ind w:left="1701" w:hanging="567"/>
        <w:rPr>
          <w:b/>
          <w:szCs w:val="18"/>
        </w:rPr>
      </w:pPr>
    </w:p>
    <w:p w:rsidR="0079480E" w:rsidRPr="0079480E" w:rsidRDefault="0079480E" w:rsidP="0079480E">
      <w:pPr>
        <w:rPr>
          <w:b/>
          <w:szCs w:val="18"/>
        </w:rPr>
      </w:pPr>
      <w:r>
        <w:rPr>
          <w:szCs w:val="18"/>
        </w:rPr>
        <w:tab/>
      </w:r>
      <w:r w:rsidRPr="0079480E">
        <w:rPr>
          <w:b/>
          <w:szCs w:val="18"/>
        </w:rPr>
        <w:t>Discussion of existing policies and scheduling matters in selected sectors of interest</w:t>
      </w:r>
    </w:p>
    <w:p w:rsidR="0079480E" w:rsidRDefault="0079480E" w:rsidP="006962C3">
      <w:pPr>
        <w:ind w:left="1701" w:hanging="567"/>
        <w:rPr>
          <w:szCs w:val="18"/>
        </w:rPr>
      </w:pPr>
    </w:p>
    <w:p w:rsidR="006962C3" w:rsidRDefault="006962C3" w:rsidP="004B7694">
      <w:pPr>
        <w:rPr>
          <w:i/>
          <w:szCs w:val="18"/>
        </w:rPr>
      </w:pPr>
    </w:p>
    <w:p w:rsidR="0079480E" w:rsidRDefault="0079480E" w:rsidP="004B7694">
      <w:pPr>
        <w:rPr>
          <w:i/>
          <w:szCs w:val="18"/>
        </w:rPr>
      </w:pPr>
    </w:p>
    <w:p w:rsidR="00810915" w:rsidRPr="00810915" w:rsidRDefault="00810915" w:rsidP="004B7694">
      <w:pPr>
        <w:rPr>
          <w:i/>
          <w:szCs w:val="18"/>
        </w:rPr>
      </w:pPr>
      <w:r w:rsidRPr="00810915">
        <w:rPr>
          <w:i/>
          <w:szCs w:val="18"/>
        </w:rPr>
        <w:t xml:space="preserve">Lunch </w:t>
      </w:r>
    </w:p>
    <w:p w:rsidR="00810915" w:rsidRDefault="00810915" w:rsidP="004B7694">
      <w:pPr>
        <w:rPr>
          <w:szCs w:val="18"/>
        </w:rPr>
      </w:pPr>
    </w:p>
    <w:p w:rsidR="00810915" w:rsidRDefault="00810915" w:rsidP="004B7694">
      <w:pPr>
        <w:rPr>
          <w:szCs w:val="18"/>
        </w:rPr>
      </w:pPr>
    </w:p>
    <w:p w:rsidR="006962C3" w:rsidRPr="0079480E" w:rsidRDefault="0079480E" w:rsidP="0079480E">
      <w:pPr>
        <w:rPr>
          <w:i/>
          <w:szCs w:val="18"/>
        </w:rPr>
      </w:pPr>
      <w:r w:rsidRPr="0079480E">
        <w:rPr>
          <w:i/>
          <w:szCs w:val="18"/>
        </w:rPr>
        <w:t>Afternoon Session</w:t>
      </w:r>
    </w:p>
    <w:p w:rsidR="00810915" w:rsidRPr="004B7694" w:rsidRDefault="00810915" w:rsidP="00810915">
      <w:pPr>
        <w:rPr>
          <w:szCs w:val="18"/>
        </w:rPr>
      </w:pPr>
    </w:p>
    <w:p w:rsidR="00810915" w:rsidRPr="004B7694" w:rsidRDefault="00810915" w:rsidP="00810915">
      <w:pPr>
        <w:rPr>
          <w:szCs w:val="18"/>
        </w:rPr>
      </w:pPr>
    </w:p>
    <w:p w:rsidR="0079480E" w:rsidRDefault="0079480E" w:rsidP="00670995">
      <w:pPr>
        <w:ind w:firstLine="567"/>
        <w:jc w:val="left"/>
        <w:rPr>
          <w:b/>
          <w:szCs w:val="18"/>
        </w:rPr>
      </w:pPr>
      <w:r>
        <w:rPr>
          <w:b/>
          <w:szCs w:val="18"/>
        </w:rPr>
        <w:t xml:space="preserve"> </w:t>
      </w:r>
      <w:r w:rsidRPr="004B7694">
        <w:rPr>
          <w:b/>
          <w:szCs w:val="18"/>
        </w:rPr>
        <w:t>GATS Article V and Regional Trade Agreements</w:t>
      </w:r>
      <w:r>
        <w:rPr>
          <w:b/>
          <w:szCs w:val="18"/>
        </w:rPr>
        <w:t xml:space="preserve"> </w:t>
      </w:r>
      <w:r w:rsidRPr="004B7694">
        <w:rPr>
          <w:b/>
          <w:szCs w:val="18"/>
        </w:rPr>
        <w:t>on</w:t>
      </w:r>
      <w:r>
        <w:rPr>
          <w:b/>
          <w:szCs w:val="18"/>
        </w:rPr>
        <w:t xml:space="preserve"> </w:t>
      </w:r>
      <w:r w:rsidRPr="004B7694">
        <w:rPr>
          <w:b/>
          <w:szCs w:val="18"/>
        </w:rPr>
        <w:t>Services</w:t>
      </w:r>
      <w:r>
        <w:rPr>
          <w:b/>
          <w:szCs w:val="18"/>
        </w:rPr>
        <w:t xml:space="preserve">        </w:t>
      </w:r>
      <w:r w:rsidRPr="004B7694">
        <w:rPr>
          <w:b/>
          <w:szCs w:val="18"/>
        </w:rPr>
        <w:t xml:space="preserve">          </w:t>
      </w:r>
      <w:r w:rsidR="00670995" w:rsidRPr="00670995">
        <w:rPr>
          <w:b/>
          <w:i/>
          <w:color w:val="4F81BD" w:themeColor="accent1"/>
          <w:szCs w:val="18"/>
        </w:rPr>
        <w:t>M. Roy, WTO</w:t>
      </w:r>
      <w:r w:rsidRPr="004B7694">
        <w:rPr>
          <w:b/>
          <w:szCs w:val="18"/>
        </w:rPr>
        <w:t xml:space="preserve">          </w:t>
      </w:r>
    </w:p>
    <w:p w:rsidR="0079480E" w:rsidRPr="004B7694" w:rsidRDefault="0079480E" w:rsidP="0079480E">
      <w:pPr>
        <w:ind w:firstLine="567"/>
        <w:rPr>
          <w:szCs w:val="18"/>
        </w:rPr>
      </w:pPr>
    </w:p>
    <w:p w:rsidR="0079480E" w:rsidRPr="004B7694" w:rsidRDefault="0079480E" w:rsidP="0079480E">
      <w:pPr>
        <w:numPr>
          <w:ilvl w:val="0"/>
          <w:numId w:val="22"/>
        </w:numPr>
        <w:ind w:left="567" w:firstLine="567"/>
        <w:contextualSpacing/>
        <w:rPr>
          <w:szCs w:val="18"/>
        </w:rPr>
      </w:pPr>
      <w:r w:rsidRPr="004B7694">
        <w:rPr>
          <w:szCs w:val="18"/>
        </w:rPr>
        <w:t>Key conditions under GATS Article V on Economic Integration Agreements</w:t>
      </w:r>
    </w:p>
    <w:p w:rsidR="0079480E" w:rsidRPr="004B7694" w:rsidRDefault="0079480E" w:rsidP="0079480E">
      <w:pPr>
        <w:numPr>
          <w:ilvl w:val="0"/>
          <w:numId w:val="22"/>
        </w:numPr>
        <w:ind w:left="567" w:firstLine="567"/>
        <w:contextualSpacing/>
        <w:rPr>
          <w:szCs w:val="18"/>
        </w:rPr>
      </w:pPr>
      <w:r w:rsidRPr="004B7694">
        <w:rPr>
          <w:szCs w:val="18"/>
        </w:rPr>
        <w:t xml:space="preserve">General trends in services RTAs  </w:t>
      </w:r>
    </w:p>
    <w:p w:rsidR="0079480E" w:rsidRPr="004B7694" w:rsidRDefault="0079480E" w:rsidP="0079480E">
      <w:pPr>
        <w:numPr>
          <w:ilvl w:val="0"/>
          <w:numId w:val="22"/>
        </w:numPr>
        <w:ind w:left="567" w:firstLine="567"/>
        <w:contextualSpacing/>
        <w:rPr>
          <w:szCs w:val="18"/>
        </w:rPr>
      </w:pPr>
      <w:r>
        <w:rPr>
          <w:szCs w:val="18"/>
        </w:rPr>
        <w:t>Key differences between GATS and RTAs: Negative vs Positive Listing</w:t>
      </w:r>
    </w:p>
    <w:p w:rsidR="0079480E" w:rsidRDefault="0079480E" w:rsidP="0079480E">
      <w:pPr>
        <w:numPr>
          <w:ilvl w:val="0"/>
          <w:numId w:val="22"/>
        </w:numPr>
        <w:ind w:left="567" w:firstLine="567"/>
        <w:contextualSpacing/>
        <w:rPr>
          <w:szCs w:val="18"/>
        </w:rPr>
      </w:pPr>
      <w:r w:rsidRPr="004B7694">
        <w:rPr>
          <w:szCs w:val="18"/>
        </w:rPr>
        <w:t>Implications and challenges</w:t>
      </w:r>
    </w:p>
    <w:p w:rsidR="0079480E" w:rsidRDefault="0079480E" w:rsidP="0079480E">
      <w:pPr>
        <w:contextualSpacing/>
        <w:rPr>
          <w:szCs w:val="18"/>
        </w:rPr>
      </w:pPr>
    </w:p>
    <w:p w:rsidR="0079480E" w:rsidRDefault="0079480E" w:rsidP="0079480E">
      <w:pPr>
        <w:contextualSpacing/>
        <w:rPr>
          <w:szCs w:val="18"/>
        </w:rPr>
      </w:pPr>
    </w:p>
    <w:p w:rsidR="0079480E" w:rsidRPr="004B7694" w:rsidRDefault="0079480E" w:rsidP="0079480E">
      <w:pPr>
        <w:contextualSpacing/>
        <w:rPr>
          <w:szCs w:val="18"/>
        </w:rPr>
      </w:pPr>
    </w:p>
    <w:p w:rsidR="00810915" w:rsidRPr="00810915" w:rsidRDefault="0079480E" w:rsidP="0079480E">
      <w:pPr>
        <w:ind w:firstLine="567"/>
        <w:rPr>
          <w:i/>
          <w:szCs w:val="18"/>
        </w:rPr>
      </w:pPr>
      <w:r>
        <w:rPr>
          <w:b/>
          <w:szCs w:val="18"/>
        </w:rPr>
        <w:t>State of services discussions in the WTO: market access and domestic regulation</w:t>
      </w:r>
    </w:p>
    <w:p w:rsidR="00810915" w:rsidRPr="00670995" w:rsidRDefault="00670995" w:rsidP="004B7694">
      <w:pPr>
        <w:rPr>
          <w:b/>
          <w:i/>
          <w:szCs w:val="18"/>
        </w:rPr>
      </w:pP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  <w:t xml:space="preserve">      </w:t>
      </w:r>
      <w:r w:rsidRPr="00670995">
        <w:rPr>
          <w:b/>
          <w:i/>
          <w:color w:val="4F81BD" w:themeColor="accent1"/>
          <w:szCs w:val="18"/>
        </w:rPr>
        <w:t>M. Roy and J. Lan, WTO</w:t>
      </w:r>
      <w:r>
        <w:rPr>
          <w:b/>
          <w:i/>
          <w:color w:val="4F81BD" w:themeColor="accent1"/>
          <w:szCs w:val="18"/>
        </w:rPr>
        <w:t xml:space="preserve"> </w:t>
      </w:r>
    </w:p>
    <w:p w:rsidR="0079480E" w:rsidRDefault="0079480E" w:rsidP="00243989">
      <w:pPr>
        <w:rPr>
          <w:b/>
          <w:szCs w:val="18"/>
        </w:rPr>
      </w:pPr>
      <w:r>
        <w:rPr>
          <w:b/>
          <w:szCs w:val="18"/>
        </w:rPr>
        <w:t xml:space="preserve"> </w:t>
      </w:r>
    </w:p>
    <w:p w:rsidR="00243989" w:rsidRDefault="00243989" w:rsidP="00243989">
      <w:pPr>
        <w:rPr>
          <w:b/>
          <w:szCs w:val="18"/>
        </w:rPr>
      </w:pPr>
    </w:p>
    <w:p w:rsidR="006962C3" w:rsidRDefault="006962C3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</w:p>
    <w:p w:rsidR="00670995" w:rsidRDefault="00670995" w:rsidP="004B7694">
      <w:pPr>
        <w:rPr>
          <w:b/>
          <w:szCs w:val="18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6962C3" w:rsidRPr="0038307B" w:rsidTr="006962C3">
        <w:tc>
          <w:tcPr>
            <w:tcW w:w="9026" w:type="dxa"/>
            <w:shd w:val="clear" w:color="auto" w:fill="95B3D7" w:themeFill="accent1" w:themeFillTint="99"/>
          </w:tcPr>
          <w:p w:rsidR="006962C3" w:rsidRPr="0038307B" w:rsidRDefault="006962C3" w:rsidP="009C6AB1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:rsidR="006962C3" w:rsidRPr="0038307B" w:rsidRDefault="00670995" w:rsidP="009C6AB1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Thursday 5 September 2019</w:t>
            </w:r>
          </w:p>
          <w:p w:rsidR="006962C3" w:rsidRPr="0038307B" w:rsidRDefault="006962C3" w:rsidP="009C6AB1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71FF3" w:rsidRDefault="00571FF3" w:rsidP="00571FF3">
      <w:pPr>
        <w:rPr>
          <w:szCs w:val="18"/>
        </w:rPr>
      </w:pPr>
    </w:p>
    <w:p w:rsidR="00F218F5" w:rsidRPr="004B7694" w:rsidRDefault="00F218F5" w:rsidP="00571FF3">
      <w:pPr>
        <w:rPr>
          <w:szCs w:val="18"/>
        </w:rPr>
      </w:pPr>
    </w:p>
    <w:p w:rsidR="006962C3" w:rsidRDefault="00CD6906" w:rsidP="006962C3">
      <w:pPr>
        <w:rPr>
          <w:rFonts w:eastAsia="Calibri" w:cs="Arial"/>
          <w:i/>
          <w:szCs w:val="18"/>
        </w:rPr>
      </w:pPr>
      <w:r>
        <w:rPr>
          <w:rFonts w:eastAsia="Calibri" w:cs="Arial"/>
          <w:i/>
          <w:szCs w:val="18"/>
        </w:rPr>
        <w:t xml:space="preserve">Morning Session </w:t>
      </w:r>
    </w:p>
    <w:p w:rsidR="00CD6906" w:rsidRPr="006962C3" w:rsidRDefault="00CD6906" w:rsidP="006962C3">
      <w:pPr>
        <w:rPr>
          <w:rFonts w:eastAsia="Calibri" w:cs="Arial"/>
          <w:i/>
          <w:szCs w:val="18"/>
        </w:rPr>
      </w:pPr>
    </w:p>
    <w:p w:rsidR="00CD6906" w:rsidRDefault="00CD6906" w:rsidP="0079480E">
      <w:pPr>
        <w:spacing w:after="200" w:line="276" w:lineRule="auto"/>
        <w:ind w:left="564"/>
        <w:jc w:val="left"/>
        <w:rPr>
          <w:b/>
          <w:szCs w:val="18"/>
        </w:rPr>
      </w:pPr>
    </w:p>
    <w:p w:rsidR="00CD6906" w:rsidRPr="00670995" w:rsidRDefault="00CD6906" w:rsidP="00243989">
      <w:pPr>
        <w:spacing w:after="200" w:line="276" w:lineRule="auto"/>
        <w:ind w:left="564"/>
        <w:jc w:val="left"/>
        <w:rPr>
          <w:b/>
          <w:i/>
          <w:color w:val="4F81BD" w:themeColor="accent1"/>
          <w:szCs w:val="18"/>
        </w:rPr>
      </w:pPr>
      <w:r>
        <w:rPr>
          <w:b/>
          <w:szCs w:val="18"/>
        </w:rPr>
        <w:t xml:space="preserve">Key trends in e-commerce </w:t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</w:r>
      <w:r w:rsidR="00670995">
        <w:rPr>
          <w:b/>
          <w:szCs w:val="18"/>
        </w:rPr>
        <w:tab/>
        <w:t xml:space="preserve">     </w:t>
      </w:r>
      <w:r w:rsidR="00670995" w:rsidRPr="00670995">
        <w:rPr>
          <w:b/>
          <w:i/>
          <w:color w:val="4F81BD" w:themeColor="accent1"/>
          <w:szCs w:val="18"/>
        </w:rPr>
        <w:t>J. Lan, WTO</w:t>
      </w:r>
    </w:p>
    <w:p w:rsidR="00243989" w:rsidRDefault="00243989" w:rsidP="00243989">
      <w:pPr>
        <w:spacing w:after="200" w:line="276" w:lineRule="auto"/>
        <w:ind w:left="564"/>
        <w:jc w:val="left"/>
        <w:rPr>
          <w:b/>
          <w:szCs w:val="18"/>
        </w:rPr>
      </w:pPr>
    </w:p>
    <w:p w:rsidR="00CD6906" w:rsidRDefault="00CD6906" w:rsidP="00CD6906">
      <w:pPr>
        <w:spacing w:after="200" w:line="276" w:lineRule="auto"/>
        <w:ind w:left="564"/>
        <w:jc w:val="left"/>
        <w:rPr>
          <w:b/>
          <w:szCs w:val="18"/>
        </w:rPr>
      </w:pPr>
      <w:r>
        <w:rPr>
          <w:b/>
          <w:szCs w:val="18"/>
        </w:rPr>
        <w:t>Presentation by Indonesian official (and/or private sector representative) on e-commerce in Indonesia</w:t>
      </w:r>
    </w:p>
    <w:p w:rsidR="00243989" w:rsidRDefault="00243989" w:rsidP="0079480E">
      <w:pPr>
        <w:spacing w:after="200" w:line="276" w:lineRule="auto"/>
        <w:ind w:left="564"/>
        <w:jc w:val="left"/>
        <w:rPr>
          <w:b/>
          <w:szCs w:val="18"/>
        </w:rPr>
      </w:pPr>
    </w:p>
    <w:p w:rsidR="00CD6906" w:rsidRDefault="00CD6906" w:rsidP="0079480E">
      <w:pPr>
        <w:spacing w:after="200" w:line="276" w:lineRule="auto"/>
        <w:ind w:left="564"/>
        <w:jc w:val="left"/>
        <w:rPr>
          <w:b/>
          <w:szCs w:val="18"/>
        </w:rPr>
      </w:pPr>
      <w:r>
        <w:rPr>
          <w:b/>
          <w:szCs w:val="18"/>
        </w:rPr>
        <w:t>The WTO and e-</w:t>
      </w:r>
      <w:r w:rsidR="00243989">
        <w:rPr>
          <w:b/>
          <w:szCs w:val="18"/>
        </w:rPr>
        <w:t>commerce:</w:t>
      </w:r>
      <w:r>
        <w:rPr>
          <w:b/>
          <w:szCs w:val="18"/>
        </w:rPr>
        <w:t xml:space="preserve"> existing rules and current discussions</w:t>
      </w:r>
      <w:r w:rsidR="00670995">
        <w:rPr>
          <w:b/>
          <w:szCs w:val="18"/>
        </w:rPr>
        <w:t xml:space="preserve">        </w:t>
      </w:r>
      <w:r w:rsidR="00670995" w:rsidRPr="00670995">
        <w:rPr>
          <w:b/>
          <w:i/>
          <w:color w:val="4F81BD" w:themeColor="accent1"/>
          <w:szCs w:val="18"/>
        </w:rPr>
        <w:t>M. Roy, WTO</w:t>
      </w:r>
    </w:p>
    <w:p w:rsidR="00CD6906" w:rsidRDefault="00CD6906" w:rsidP="0079480E">
      <w:pPr>
        <w:spacing w:after="200" w:line="276" w:lineRule="auto"/>
        <w:ind w:left="564"/>
        <w:jc w:val="left"/>
        <w:rPr>
          <w:b/>
          <w:szCs w:val="18"/>
        </w:rPr>
      </w:pPr>
    </w:p>
    <w:p w:rsidR="00670995" w:rsidRDefault="00670995" w:rsidP="0079480E">
      <w:pPr>
        <w:spacing w:after="200" w:line="276" w:lineRule="auto"/>
        <w:ind w:left="564"/>
        <w:jc w:val="left"/>
        <w:rPr>
          <w:b/>
          <w:szCs w:val="18"/>
        </w:rPr>
      </w:pPr>
      <w:r>
        <w:rPr>
          <w:b/>
          <w:szCs w:val="18"/>
        </w:rPr>
        <w:t>Closing</w:t>
      </w:r>
    </w:p>
    <w:p w:rsidR="00670995" w:rsidRDefault="00670995" w:rsidP="0079480E">
      <w:pPr>
        <w:spacing w:after="200" w:line="276" w:lineRule="auto"/>
        <w:ind w:left="564"/>
        <w:jc w:val="left"/>
        <w:rPr>
          <w:b/>
          <w:szCs w:val="18"/>
        </w:rPr>
      </w:pPr>
    </w:p>
    <w:p w:rsidR="0079480E" w:rsidRPr="00CD6906" w:rsidRDefault="00CD6906" w:rsidP="0079480E">
      <w:pPr>
        <w:spacing w:after="200" w:line="276" w:lineRule="auto"/>
        <w:ind w:left="564"/>
        <w:jc w:val="left"/>
        <w:rPr>
          <w:i/>
          <w:szCs w:val="18"/>
        </w:rPr>
      </w:pPr>
      <w:r w:rsidRPr="00CD6906">
        <w:rPr>
          <w:i/>
          <w:szCs w:val="18"/>
        </w:rPr>
        <w:t>Lunch</w:t>
      </w:r>
    </w:p>
    <w:p w:rsidR="00CD6906" w:rsidRDefault="00CD6906" w:rsidP="0079480E">
      <w:pPr>
        <w:spacing w:after="200" w:line="276" w:lineRule="auto"/>
        <w:ind w:left="564"/>
        <w:jc w:val="left"/>
        <w:rPr>
          <w:b/>
          <w:szCs w:val="18"/>
        </w:rPr>
      </w:pPr>
    </w:p>
    <w:p w:rsidR="00514A5A" w:rsidRDefault="00CD6906" w:rsidP="00670995">
      <w:pPr>
        <w:spacing w:after="200" w:line="276" w:lineRule="auto"/>
        <w:ind w:firstLine="564"/>
        <w:jc w:val="left"/>
        <w:rPr>
          <w:rFonts w:eastAsia="Batang" w:cs="Arial"/>
          <w:b/>
          <w:noProof/>
          <w:szCs w:val="18"/>
        </w:rPr>
      </w:pPr>
      <w:r>
        <w:rPr>
          <w:b/>
          <w:szCs w:val="18"/>
        </w:rPr>
        <w:t xml:space="preserve"> </w:t>
      </w:r>
      <w:r w:rsidR="0079480E">
        <w:rPr>
          <w:b/>
          <w:szCs w:val="18"/>
        </w:rPr>
        <w:t xml:space="preserve"> </w:t>
      </w:r>
    </w:p>
    <w:p w:rsidR="00514A5A" w:rsidRDefault="00514A5A" w:rsidP="00514A5A">
      <w:pPr>
        <w:ind w:left="927" w:firstLine="567"/>
        <w:rPr>
          <w:rFonts w:eastAsia="Batang" w:cs="Arial"/>
          <w:b/>
          <w:noProof/>
          <w:szCs w:val="18"/>
        </w:rPr>
      </w:pPr>
    </w:p>
    <w:p w:rsidR="00514A5A" w:rsidRPr="00514A5A" w:rsidRDefault="00514A5A" w:rsidP="009503CE">
      <w:pPr>
        <w:jc w:val="center"/>
        <w:rPr>
          <w:rFonts w:eastAsia="Batang" w:cs="Arial"/>
          <w:noProof/>
          <w:szCs w:val="18"/>
        </w:rPr>
      </w:pPr>
      <w:r>
        <w:rPr>
          <w:rFonts w:eastAsia="Batang" w:cs="Arial"/>
          <w:b/>
          <w:noProof/>
          <w:szCs w:val="18"/>
        </w:rPr>
        <w:t>__________</w:t>
      </w:r>
    </w:p>
    <w:sectPr w:rsidR="00514A5A" w:rsidRPr="00514A5A" w:rsidSect="00514A5A">
      <w:headerReference w:type="default" r:id="rId8"/>
      <w:pgSz w:w="11906" w:h="16838" w:code="9"/>
      <w:pgMar w:top="1134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3B" w:rsidRDefault="0032403B" w:rsidP="00ED54E0">
      <w:r>
        <w:separator/>
      </w:r>
    </w:p>
  </w:endnote>
  <w:endnote w:type="continuationSeparator" w:id="0">
    <w:p w:rsidR="0032403B" w:rsidRDefault="003240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3B" w:rsidRDefault="0032403B" w:rsidP="00ED54E0">
      <w:r>
        <w:separator/>
      </w:r>
    </w:p>
  </w:footnote>
  <w:footnote w:type="continuationSeparator" w:id="0">
    <w:p w:rsidR="0032403B" w:rsidRDefault="0032403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5A" w:rsidRDefault="0032403B">
    <w:pPr>
      <w:pStyle w:val="Header"/>
      <w:jc w:val="center"/>
    </w:pPr>
    <w:sdt>
      <w:sdtPr>
        <w:id w:val="10341494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4A5A">
          <w:t xml:space="preserve">- </w:t>
        </w:r>
        <w:r w:rsidR="00514A5A">
          <w:fldChar w:fldCharType="begin"/>
        </w:r>
        <w:r w:rsidR="00514A5A">
          <w:instrText xml:space="preserve"> PAGE   \* MERGEFORMAT </w:instrText>
        </w:r>
        <w:r w:rsidR="00514A5A">
          <w:fldChar w:fldCharType="separate"/>
        </w:r>
        <w:r w:rsidR="00514A5A">
          <w:rPr>
            <w:noProof/>
          </w:rPr>
          <w:t>2</w:t>
        </w:r>
        <w:r w:rsidR="00514A5A">
          <w:rPr>
            <w:noProof/>
          </w:rPr>
          <w:fldChar w:fldCharType="end"/>
        </w:r>
      </w:sdtContent>
    </w:sdt>
    <w:r w:rsidR="00514A5A">
      <w:rPr>
        <w:noProof/>
      </w:rPr>
      <w:t xml:space="preserve"> -</w:t>
    </w:r>
  </w:p>
  <w:p w:rsidR="00514A5A" w:rsidRDefault="00514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841BA"/>
    <w:multiLevelType w:val="hybridMultilevel"/>
    <w:tmpl w:val="896C6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05C3D"/>
    <w:multiLevelType w:val="hybridMultilevel"/>
    <w:tmpl w:val="D56A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0E26"/>
    <w:multiLevelType w:val="hybridMultilevel"/>
    <w:tmpl w:val="EB1416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544EDA"/>
    <w:multiLevelType w:val="hybridMultilevel"/>
    <w:tmpl w:val="BBF41E76"/>
    <w:lvl w:ilvl="0" w:tplc="08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B4C2F2D"/>
    <w:multiLevelType w:val="hybridMultilevel"/>
    <w:tmpl w:val="1DFA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7F6283"/>
    <w:multiLevelType w:val="hybridMultilevel"/>
    <w:tmpl w:val="6652AFA4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A4E0299"/>
    <w:multiLevelType w:val="hybridMultilevel"/>
    <w:tmpl w:val="C596C0C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1F8"/>
    <w:multiLevelType w:val="hybridMultilevel"/>
    <w:tmpl w:val="A10E2A5E"/>
    <w:lvl w:ilvl="0" w:tplc="1C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20"/>
  </w:num>
  <w:num w:numId="22">
    <w:abstractNumId w:val="11"/>
  </w:num>
  <w:num w:numId="23">
    <w:abstractNumId w:val="21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F3"/>
    <w:rsid w:val="000106E0"/>
    <w:rsid w:val="000111BB"/>
    <w:rsid w:val="00022C0F"/>
    <w:rsid w:val="000272F6"/>
    <w:rsid w:val="00037AC4"/>
    <w:rsid w:val="000423BF"/>
    <w:rsid w:val="00060154"/>
    <w:rsid w:val="000A4945"/>
    <w:rsid w:val="000B31E1"/>
    <w:rsid w:val="0011356B"/>
    <w:rsid w:val="00130406"/>
    <w:rsid w:val="0013337F"/>
    <w:rsid w:val="00136D19"/>
    <w:rsid w:val="00182B84"/>
    <w:rsid w:val="001946F2"/>
    <w:rsid w:val="001D0F5C"/>
    <w:rsid w:val="001D4FF1"/>
    <w:rsid w:val="001E291F"/>
    <w:rsid w:val="00233408"/>
    <w:rsid w:val="00237417"/>
    <w:rsid w:val="00243989"/>
    <w:rsid w:val="0027067B"/>
    <w:rsid w:val="002A15FB"/>
    <w:rsid w:val="002A6940"/>
    <w:rsid w:val="002E249B"/>
    <w:rsid w:val="00304385"/>
    <w:rsid w:val="00311BE2"/>
    <w:rsid w:val="00320249"/>
    <w:rsid w:val="0032403B"/>
    <w:rsid w:val="003572B4"/>
    <w:rsid w:val="003616BF"/>
    <w:rsid w:val="00371F2B"/>
    <w:rsid w:val="00383F10"/>
    <w:rsid w:val="0038747B"/>
    <w:rsid w:val="003B2C13"/>
    <w:rsid w:val="00400960"/>
    <w:rsid w:val="004018D3"/>
    <w:rsid w:val="004551EC"/>
    <w:rsid w:val="00457FF9"/>
    <w:rsid w:val="00467032"/>
    <w:rsid w:val="0046754A"/>
    <w:rsid w:val="0048348E"/>
    <w:rsid w:val="004A31FF"/>
    <w:rsid w:val="004B7694"/>
    <w:rsid w:val="004F203A"/>
    <w:rsid w:val="00512FF5"/>
    <w:rsid w:val="00514A5A"/>
    <w:rsid w:val="005336B8"/>
    <w:rsid w:val="00571FF3"/>
    <w:rsid w:val="005B04B9"/>
    <w:rsid w:val="005B68C7"/>
    <w:rsid w:val="005B7054"/>
    <w:rsid w:val="005D0152"/>
    <w:rsid w:val="005D5981"/>
    <w:rsid w:val="005F30CB"/>
    <w:rsid w:val="00612644"/>
    <w:rsid w:val="00670995"/>
    <w:rsid w:val="00674CCD"/>
    <w:rsid w:val="006962C3"/>
    <w:rsid w:val="006A18DC"/>
    <w:rsid w:val="006D54E0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732CE"/>
    <w:rsid w:val="0079480E"/>
    <w:rsid w:val="007A724F"/>
    <w:rsid w:val="007B018B"/>
    <w:rsid w:val="007C79F0"/>
    <w:rsid w:val="007E6507"/>
    <w:rsid w:val="007E7282"/>
    <w:rsid w:val="007F2B8E"/>
    <w:rsid w:val="007F2DB0"/>
    <w:rsid w:val="00801CBB"/>
    <w:rsid w:val="00807247"/>
    <w:rsid w:val="00810915"/>
    <w:rsid w:val="00840C2B"/>
    <w:rsid w:val="00845C39"/>
    <w:rsid w:val="00850889"/>
    <w:rsid w:val="008739FD"/>
    <w:rsid w:val="008A7BB6"/>
    <w:rsid w:val="008E372C"/>
    <w:rsid w:val="00920FD4"/>
    <w:rsid w:val="00947C09"/>
    <w:rsid w:val="009503CE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A12C6"/>
    <w:rsid w:val="00CC5DCA"/>
    <w:rsid w:val="00CD6906"/>
    <w:rsid w:val="00CD7D97"/>
    <w:rsid w:val="00CE3EE6"/>
    <w:rsid w:val="00CE4BA1"/>
    <w:rsid w:val="00CE6C2E"/>
    <w:rsid w:val="00D000C7"/>
    <w:rsid w:val="00D52A9D"/>
    <w:rsid w:val="00D55AAD"/>
    <w:rsid w:val="00D747AE"/>
    <w:rsid w:val="00D9226C"/>
    <w:rsid w:val="00DA20BD"/>
    <w:rsid w:val="00DA318B"/>
    <w:rsid w:val="00DC3BE5"/>
    <w:rsid w:val="00DE50DB"/>
    <w:rsid w:val="00DF6AE1"/>
    <w:rsid w:val="00E46FD5"/>
    <w:rsid w:val="00E544BB"/>
    <w:rsid w:val="00E56545"/>
    <w:rsid w:val="00E85004"/>
    <w:rsid w:val="00EA5D4F"/>
    <w:rsid w:val="00EB4BF9"/>
    <w:rsid w:val="00EB6C56"/>
    <w:rsid w:val="00EB6F21"/>
    <w:rsid w:val="00EC2FAB"/>
    <w:rsid w:val="00ED54E0"/>
    <w:rsid w:val="00F01C13"/>
    <w:rsid w:val="00F218F5"/>
    <w:rsid w:val="00F32397"/>
    <w:rsid w:val="00F40595"/>
    <w:rsid w:val="00F80A97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DAA57"/>
  <w15:chartTrackingRefBased/>
  <w15:docId w15:val="{CC12DD27-252A-4457-B6F2-9DD8F94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Martin</dc:creator>
  <cp:keywords/>
  <dc:description/>
  <cp:lastModifiedBy>Roy, Martin</cp:lastModifiedBy>
  <cp:revision>3</cp:revision>
  <cp:lastPrinted>2019-07-04T14:23:00Z</cp:lastPrinted>
  <dcterms:created xsi:type="dcterms:W3CDTF">2019-07-23T15:01:00Z</dcterms:created>
  <dcterms:modified xsi:type="dcterms:W3CDTF">2019-07-23T15:07:00Z</dcterms:modified>
</cp:coreProperties>
</file>