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5B6C" w14:textId="2AEF7363" w:rsidR="00F219FF" w:rsidRPr="00B54807" w:rsidRDefault="00F219FF" w:rsidP="00FA0E8E">
      <w:pPr>
        <w:jc w:val="center"/>
        <w:rPr>
          <w:b/>
          <w:sz w:val="24"/>
          <w:szCs w:val="24"/>
        </w:rPr>
      </w:pPr>
      <w:r w:rsidRPr="00B54807">
        <w:rPr>
          <w:b/>
          <w:sz w:val="24"/>
          <w:szCs w:val="24"/>
        </w:rPr>
        <w:t>WTO National Workshop on</w:t>
      </w:r>
    </w:p>
    <w:p w14:paraId="5D5B026B" w14:textId="375D5299" w:rsidR="00F219FF" w:rsidRPr="00B54807" w:rsidRDefault="00F219FF" w:rsidP="00F219FF">
      <w:pPr>
        <w:jc w:val="center"/>
        <w:rPr>
          <w:b/>
          <w:sz w:val="24"/>
          <w:szCs w:val="24"/>
        </w:rPr>
      </w:pPr>
      <w:r w:rsidRPr="00B54807">
        <w:rPr>
          <w:b/>
          <w:sz w:val="24"/>
          <w:szCs w:val="24"/>
        </w:rPr>
        <w:t xml:space="preserve">Trade in Services and Good Regulatory Practices </w:t>
      </w:r>
    </w:p>
    <w:p w14:paraId="0778A7F4" w14:textId="77777777" w:rsidR="00F219FF" w:rsidRPr="00B54807" w:rsidRDefault="00F219FF" w:rsidP="00F219FF">
      <w:pPr>
        <w:jc w:val="center"/>
        <w:rPr>
          <w:b/>
          <w:sz w:val="24"/>
          <w:szCs w:val="24"/>
        </w:rPr>
      </w:pPr>
      <w:r w:rsidRPr="00B54807">
        <w:rPr>
          <w:b/>
          <w:sz w:val="24"/>
          <w:szCs w:val="24"/>
        </w:rPr>
        <w:t>(under the TS4D Initiative)</w:t>
      </w:r>
    </w:p>
    <w:p w14:paraId="3ACFF064" w14:textId="77777777" w:rsidR="00F219FF" w:rsidRPr="00B54807" w:rsidRDefault="00F219FF" w:rsidP="00F219FF">
      <w:pPr>
        <w:jc w:val="center"/>
        <w:rPr>
          <w:b/>
          <w:sz w:val="24"/>
          <w:szCs w:val="24"/>
        </w:rPr>
      </w:pPr>
    </w:p>
    <w:p w14:paraId="5646015F" w14:textId="77777777" w:rsidR="00F219FF" w:rsidRPr="00B54807" w:rsidRDefault="00F219FF" w:rsidP="00F219FF">
      <w:pPr>
        <w:jc w:val="center"/>
        <w:rPr>
          <w:b/>
          <w:sz w:val="24"/>
          <w:szCs w:val="24"/>
        </w:rPr>
      </w:pPr>
      <w:r w:rsidRPr="00B54807">
        <w:rPr>
          <w:b/>
          <w:sz w:val="24"/>
          <w:szCs w:val="24"/>
        </w:rPr>
        <w:t>Guyana</w:t>
      </w:r>
    </w:p>
    <w:p w14:paraId="00B9E578" w14:textId="77777777" w:rsidR="00F219FF" w:rsidRPr="00B54807" w:rsidRDefault="00F219FF" w:rsidP="00B54807">
      <w:pPr>
        <w:rPr>
          <w:b/>
          <w:sz w:val="24"/>
          <w:szCs w:val="24"/>
        </w:rPr>
      </w:pPr>
    </w:p>
    <w:p w14:paraId="2B6084CE" w14:textId="46EE52DA" w:rsidR="00F219FF" w:rsidRPr="00B54807" w:rsidRDefault="00F219FF" w:rsidP="00B54807">
      <w:pPr>
        <w:spacing w:after="480"/>
        <w:jc w:val="center"/>
        <w:rPr>
          <w:b/>
          <w:sz w:val="24"/>
          <w:szCs w:val="24"/>
        </w:rPr>
      </w:pPr>
      <w:r w:rsidRPr="00B54807">
        <w:rPr>
          <w:b/>
          <w:sz w:val="24"/>
          <w:szCs w:val="24"/>
        </w:rPr>
        <w:t>Georgetown, 16-1</w:t>
      </w:r>
      <w:r w:rsidR="00366F8B" w:rsidRPr="00B54807">
        <w:rPr>
          <w:b/>
          <w:sz w:val="24"/>
          <w:szCs w:val="24"/>
        </w:rPr>
        <w:t>9</w:t>
      </w:r>
      <w:r w:rsidRPr="00B54807">
        <w:rPr>
          <w:b/>
          <w:sz w:val="24"/>
          <w:szCs w:val="24"/>
        </w:rPr>
        <w:t xml:space="preserve"> June 202</w:t>
      </w:r>
      <w:r w:rsidR="00B54807" w:rsidRPr="00B54807">
        <w:rPr>
          <w:b/>
          <w:sz w:val="24"/>
          <w:szCs w:val="24"/>
        </w:rPr>
        <w:t>6</w:t>
      </w:r>
    </w:p>
    <w:p w14:paraId="30D3941A" w14:textId="77777777" w:rsidR="00F219FF" w:rsidRPr="000F6D2E" w:rsidRDefault="00F219FF" w:rsidP="00F219FF">
      <w:pPr>
        <w:rPr>
          <w:bCs/>
          <w:sz w:val="20"/>
        </w:rPr>
      </w:pPr>
    </w:p>
    <w:p w14:paraId="3FE564F0" w14:textId="77777777" w:rsidR="00F219FF" w:rsidRPr="00B54807" w:rsidRDefault="00F219FF" w:rsidP="00F219FF">
      <w:pPr>
        <w:rPr>
          <w:bCs/>
          <w:szCs w:val="18"/>
        </w:rPr>
      </w:pPr>
      <w:r w:rsidRPr="00B54807">
        <w:rPr>
          <w:b/>
          <w:szCs w:val="18"/>
        </w:rPr>
        <w:t>Background and Objectives:</w:t>
      </w:r>
      <w:r w:rsidRPr="00B54807">
        <w:rPr>
          <w:bCs/>
          <w:szCs w:val="18"/>
        </w:rPr>
        <w:t xml:space="preserve">  </w:t>
      </w:r>
    </w:p>
    <w:p w14:paraId="5E5E2D91" w14:textId="77777777" w:rsidR="00F219FF" w:rsidRPr="00B54807" w:rsidRDefault="00F219FF" w:rsidP="00F219FF">
      <w:pPr>
        <w:rPr>
          <w:bCs/>
          <w:szCs w:val="18"/>
        </w:rPr>
      </w:pPr>
    </w:p>
    <w:p w14:paraId="1A18317D" w14:textId="658707C4" w:rsidR="00754561" w:rsidRPr="00B54807" w:rsidRDefault="00F219FF" w:rsidP="00F219FF">
      <w:pPr>
        <w:rPr>
          <w:bCs/>
          <w:szCs w:val="18"/>
        </w:rPr>
      </w:pPr>
      <w:r w:rsidRPr="00B54807">
        <w:rPr>
          <w:bCs/>
          <w:szCs w:val="18"/>
        </w:rPr>
        <w:t xml:space="preserve">Following the </w:t>
      </w:r>
      <w:r w:rsidR="00295029" w:rsidRPr="00B54807">
        <w:rPr>
          <w:bCs/>
          <w:szCs w:val="18"/>
        </w:rPr>
        <w:t xml:space="preserve">two </w:t>
      </w:r>
      <w:r w:rsidRPr="00B54807">
        <w:rPr>
          <w:bCs/>
          <w:szCs w:val="18"/>
        </w:rPr>
        <w:t>National Workshops held in December 2024 and November 2025, Guyana has</w:t>
      </w:r>
      <w:r w:rsidR="00754561" w:rsidRPr="00B54807">
        <w:rPr>
          <w:bCs/>
          <w:szCs w:val="18"/>
        </w:rPr>
        <w:t xml:space="preserve"> been</w:t>
      </w:r>
      <w:r w:rsidRPr="00B54807">
        <w:rPr>
          <w:bCs/>
          <w:szCs w:val="18"/>
        </w:rPr>
        <w:t xml:space="preserve"> carr</w:t>
      </w:r>
      <w:r w:rsidR="00754561" w:rsidRPr="00B54807">
        <w:rPr>
          <w:bCs/>
          <w:szCs w:val="18"/>
        </w:rPr>
        <w:t>ying</w:t>
      </w:r>
      <w:r w:rsidRPr="00B54807">
        <w:rPr>
          <w:bCs/>
          <w:szCs w:val="18"/>
        </w:rPr>
        <w:t xml:space="preserve"> out the WTO-World Bank Regulatory Survey</w:t>
      </w:r>
      <w:r w:rsidR="00754561" w:rsidRPr="00B54807">
        <w:rPr>
          <w:bCs/>
          <w:szCs w:val="18"/>
        </w:rPr>
        <w:t xml:space="preserve"> on Impediments to Services Trade</w:t>
      </w:r>
      <w:r w:rsidRPr="00B54807">
        <w:rPr>
          <w:bCs/>
          <w:szCs w:val="18"/>
        </w:rPr>
        <w:t xml:space="preserve"> </w:t>
      </w:r>
      <w:r w:rsidR="00295029" w:rsidRPr="00B54807">
        <w:rPr>
          <w:bCs/>
          <w:szCs w:val="18"/>
        </w:rPr>
        <w:t>in collaboration with</w:t>
      </w:r>
      <w:r w:rsidRPr="00B54807">
        <w:rPr>
          <w:bCs/>
          <w:szCs w:val="18"/>
        </w:rPr>
        <w:t xml:space="preserve"> the Inter-American Development Bank (IDB). As a pilot module, Guyana also field-tested new additional questions to take stock of the implementation of good regulatory practices (GRPs) within its domestic framework across services sectors. </w:t>
      </w:r>
    </w:p>
    <w:p w14:paraId="0A74E9FB" w14:textId="77777777" w:rsidR="00754561" w:rsidRPr="00B54807" w:rsidRDefault="00754561" w:rsidP="00F219FF">
      <w:pPr>
        <w:rPr>
          <w:bCs/>
          <w:szCs w:val="18"/>
        </w:rPr>
      </w:pPr>
    </w:p>
    <w:p w14:paraId="7B594F21" w14:textId="77777777" w:rsidR="00295029" w:rsidRPr="00B54807" w:rsidRDefault="00F219FF" w:rsidP="00295029">
      <w:pPr>
        <w:rPr>
          <w:bCs/>
          <w:szCs w:val="18"/>
        </w:rPr>
      </w:pPr>
      <w:r w:rsidRPr="00B54807">
        <w:rPr>
          <w:bCs/>
          <w:szCs w:val="18"/>
        </w:rPr>
        <w:t xml:space="preserve">The </w:t>
      </w:r>
      <w:r w:rsidR="00754561" w:rsidRPr="00B54807">
        <w:rPr>
          <w:bCs/>
          <w:szCs w:val="18"/>
        </w:rPr>
        <w:t>s</w:t>
      </w:r>
      <w:r w:rsidRPr="00B54807">
        <w:rPr>
          <w:bCs/>
          <w:szCs w:val="18"/>
        </w:rPr>
        <w:t xml:space="preserve">urvey </w:t>
      </w:r>
      <w:r w:rsidR="00754561" w:rsidRPr="00B54807">
        <w:rPr>
          <w:bCs/>
          <w:szCs w:val="18"/>
        </w:rPr>
        <w:t>has now been completed and</w:t>
      </w:r>
      <w:r w:rsidRPr="00B54807">
        <w:rPr>
          <w:bCs/>
          <w:szCs w:val="18"/>
        </w:rPr>
        <w:t xml:space="preserve"> provide</w:t>
      </w:r>
      <w:r w:rsidR="00754561" w:rsidRPr="00B54807">
        <w:rPr>
          <w:bCs/>
          <w:szCs w:val="18"/>
        </w:rPr>
        <w:t>s</w:t>
      </w:r>
      <w:r w:rsidRPr="00B54807">
        <w:rPr>
          <w:bCs/>
          <w:szCs w:val="18"/>
        </w:rPr>
        <w:t xml:space="preserve"> a comprehensive assessment of Guyana's regulatory regime in services</w:t>
      </w:r>
      <w:r w:rsidR="00754561" w:rsidRPr="00B54807">
        <w:rPr>
          <w:bCs/>
          <w:szCs w:val="18"/>
        </w:rPr>
        <w:t>. Among others, it can be used as a tool</w:t>
      </w:r>
      <w:r w:rsidRPr="00B54807">
        <w:rPr>
          <w:bCs/>
          <w:szCs w:val="18"/>
        </w:rPr>
        <w:t xml:space="preserve"> to discuss next steps and additional technical assistance required by Guyana in partnership with the WTO Secretariat</w:t>
      </w:r>
      <w:r w:rsidR="00FA0E8E" w:rsidRPr="00B54807">
        <w:rPr>
          <w:bCs/>
          <w:szCs w:val="18"/>
        </w:rPr>
        <w:t>, the World Bank,</w:t>
      </w:r>
      <w:r w:rsidRPr="00B54807">
        <w:rPr>
          <w:bCs/>
          <w:szCs w:val="18"/>
        </w:rPr>
        <w:t xml:space="preserve"> and other Organizations.</w:t>
      </w:r>
    </w:p>
    <w:p w14:paraId="51173BA7" w14:textId="77777777" w:rsidR="00295029" w:rsidRPr="00B54807" w:rsidRDefault="00295029" w:rsidP="00295029">
      <w:pPr>
        <w:rPr>
          <w:bCs/>
          <w:szCs w:val="18"/>
        </w:rPr>
      </w:pPr>
    </w:p>
    <w:p w14:paraId="738655BC" w14:textId="77777777" w:rsidR="00295029" w:rsidRPr="00B54807" w:rsidRDefault="00F219FF" w:rsidP="00295029">
      <w:pPr>
        <w:rPr>
          <w:bCs/>
          <w:szCs w:val="18"/>
        </w:rPr>
      </w:pPr>
      <w:r w:rsidRPr="00B54807">
        <w:rPr>
          <w:bCs/>
          <w:szCs w:val="18"/>
        </w:rPr>
        <w:t>Under the Trade in Services for Development (TS4D) Initiative,</w:t>
      </w:r>
      <w:r w:rsidR="001D0B41" w:rsidRPr="00B54807">
        <w:rPr>
          <w:szCs w:val="18"/>
        </w:rPr>
        <w:t xml:space="preserve"> </w:t>
      </w:r>
      <w:r w:rsidR="00295029" w:rsidRPr="00B54807">
        <w:rPr>
          <w:bCs/>
          <w:szCs w:val="18"/>
        </w:rPr>
        <w:t>the National Workshop will provide an opportunity to</w:t>
      </w:r>
    </w:p>
    <w:p w14:paraId="6B74424B" w14:textId="36444135" w:rsidR="001D0B41" w:rsidRPr="00B54807" w:rsidRDefault="001D0B41" w:rsidP="00295029">
      <w:pPr>
        <w:rPr>
          <w:bCs/>
          <w:szCs w:val="18"/>
        </w:rPr>
      </w:pPr>
      <w:r w:rsidRPr="00B54807">
        <w:rPr>
          <w:bCs/>
          <w:szCs w:val="18"/>
        </w:rPr>
        <w:tab/>
      </w:r>
    </w:p>
    <w:p w14:paraId="48494805" w14:textId="77777777" w:rsidR="00645CD1" w:rsidRPr="00B54807" w:rsidRDefault="00645CD1" w:rsidP="00F219FF">
      <w:pPr>
        <w:numPr>
          <w:ilvl w:val="0"/>
          <w:numId w:val="20"/>
        </w:numPr>
        <w:tabs>
          <w:tab w:val="left" w:pos="720"/>
        </w:tabs>
        <w:spacing w:after="120"/>
        <w:ind w:left="714" w:hanging="357"/>
        <w:rPr>
          <w:szCs w:val="18"/>
        </w:rPr>
      </w:pPr>
      <w:r w:rsidRPr="00B54807">
        <w:rPr>
          <w:szCs w:val="18"/>
        </w:rPr>
        <w:t xml:space="preserve">Present the regulatory data collected, including with a view to </w:t>
      </w:r>
    </w:p>
    <w:p w14:paraId="794CD4C3" w14:textId="17959CBB" w:rsidR="00645CD1" w:rsidRPr="00B54807" w:rsidRDefault="00645CD1" w:rsidP="00645CD1">
      <w:pPr>
        <w:numPr>
          <w:ilvl w:val="1"/>
          <w:numId w:val="20"/>
        </w:numPr>
        <w:tabs>
          <w:tab w:val="left" w:pos="720"/>
        </w:tabs>
        <w:spacing w:after="120"/>
        <w:rPr>
          <w:szCs w:val="18"/>
        </w:rPr>
      </w:pPr>
      <w:r w:rsidRPr="00B54807">
        <w:rPr>
          <w:szCs w:val="18"/>
        </w:rPr>
        <w:t xml:space="preserve">Providing a detailed overview of Guyana’s national regulatory framework pertaining to services trade policy </w:t>
      </w:r>
      <w:r w:rsidR="00366F8B" w:rsidRPr="00B54807">
        <w:rPr>
          <w:szCs w:val="18"/>
        </w:rPr>
        <w:t xml:space="preserve">(including potential market access and national treatment limitations) </w:t>
      </w:r>
      <w:r w:rsidRPr="00B54807">
        <w:rPr>
          <w:szCs w:val="18"/>
        </w:rPr>
        <w:t xml:space="preserve">in comparison with peer economies in the region and similar levels of development; </w:t>
      </w:r>
    </w:p>
    <w:p w14:paraId="5D223E3A" w14:textId="07500AE0" w:rsidR="00645CD1" w:rsidRPr="00B54807" w:rsidRDefault="00645CD1" w:rsidP="00645CD1">
      <w:pPr>
        <w:numPr>
          <w:ilvl w:val="1"/>
          <w:numId w:val="20"/>
        </w:numPr>
        <w:tabs>
          <w:tab w:val="left" w:pos="720"/>
        </w:tabs>
        <w:spacing w:after="120"/>
        <w:rPr>
          <w:szCs w:val="18"/>
        </w:rPr>
      </w:pPr>
      <w:r w:rsidRPr="00B54807">
        <w:rPr>
          <w:szCs w:val="18"/>
        </w:rPr>
        <w:t>Analysing policy space in current market access commitments for services (based on the STRI</w:t>
      </w:r>
      <w:r w:rsidR="00FB5408" w:rsidRPr="00B54807">
        <w:rPr>
          <w:szCs w:val="18"/>
        </w:rPr>
        <w:t xml:space="preserve"> </w:t>
      </w:r>
      <w:r w:rsidRPr="00B54807">
        <w:rPr>
          <w:szCs w:val="18"/>
        </w:rPr>
        <w:t>and Bound STRI for GATS commitments).</w:t>
      </w:r>
    </w:p>
    <w:p w14:paraId="78ADDD22" w14:textId="03FE279F" w:rsidR="001D0B41" w:rsidRPr="00B54807" w:rsidRDefault="001D0B41" w:rsidP="00645CD1">
      <w:pPr>
        <w:pStyle w:val="ListParagraph"/>
        <w:numPr>
          <w:ilvl w:val="0"/>
          <w:numId w:val="20"/>
        </w:numPr>
        <w:rPr>
          <w:szCs w:val="18"/>
        </w:rPr>
      </w:pPr>
      <w:r w:rsidRPr="00B54807">
        <w:rPr>
          <w:szCs w:val="18"/>
        </w:rPr>
        <w:t xml:space="preserve">Discuss alignment of </w:t>
      </w:r>
      <w:r w:rsidR="00645CD1" w:rsidRPr="00B54807">
        <w:rPr>
          <w:szCs w:val="18"/>
        </w:rPr>
        <w:t>Guyana’s services frameworks</w:t>
      </w:r>
      <w:r w:rsidRPr="00B54807">
        <w:rPr>
          <w:szCs w:val="18"/>
        </w:rPr>
        <w:t xml:space="preserve"> with GRPs, with a view to</w:t>
      </w:r>
    </w:p>
    <w:p w14:paraId="4409E552" w14:textId="77777777" w:rsidR="001D0B41" w:rsidRPr="00B54807" w:rsidRDefault="001D0B41" w:rsidP="001D0B41">
      <w:pPr>
        <w:pStyle w:val="ListParagraph"/>
        <w:ind w:left="1440"/>
        <w:rPr>
          <w:szCs w:val="18"/>
        </w:rPr>
      </w:pPr>
    </w:p>
    <w:p w14:paraId="5015E79D" w14:textId="11DD43E7" w:rsidR="00DA2F4B" w:rsidRPr="00B54807" w:rsidRDefault="00DA2F4B" w:rsidP="00DA2F4B">
      <w:pPr>
        <w:pStyle w:val="ListParagraph"/>
        <w:numPr>
          <w:ilvl w:val="1"/>
          <w:numId w:val="20"/>
        </w:numPr>
        <w:rPr>
          <w:szCs w:val="18"/>
        </w:rPr>
      </w:pPr>
      <w:r w:rsidRPr="00B54807">
        <w:rPr>
          <w:szCs w:val="18"/>
        </w:rPr>
        <w:t>Identifying key features, areas of strength and weaknesses;</w:t>
      </w:r>
    </w:p>
    <w:p w14:paraId="46602067" w14:textId="77777777" w:rsidR="00DA2F4B" w:rsidRPr="00B54807" w:rsidRDefault="00DA2F4B" w:rsidP="00DA2F4B">
      <w:pPr>
        <w:pStyle w:val="ListParagraph"/>
        <w:ind w:left="1440"/>
        <w:rPr>
          <w:szCs w:val="18"/>
        </w:rPr>
      </w:pPr>
    </w:p>
    <w:p w14:paraId="64162DF9" w14:textId="7082AF36" w:rsidR="00645CD1" w:rsidRPr="00B54807" w:rsidRDefault="001D0B41" w:rsidP="001D0B41">
      <w:pPr>
        <w:pStyle w:val="ListParagraph"/>
        <w:numPr>
          <w:ilvl w:val="1"/>
          <w:numId w:val="20"/>
        </w:numPr>
        <w:rPr>
          <w:szCs w:val="18"/>
        </w:rPr>
      </w:pPr>
      <w:r w:rsidRPr="00B54807">
        <w:rPr>
          <w:szCs w:val="18"/>
        </w:rPr>
        <w:t xml:space="preserve">Assessing </w:t>
      </w:r>
      <w:r w:rsidR="00645CD1" w:rsidRPr="00B54807">
        <w:rPr>
          <w:szCs w:val="18"/>
        </w:rPr>
        <w:t>compatibility with the Disciplines on Services Domestic Regulation</w:t>
      </w:r>
      <w:r w:rsidRPr="00B54807">
        <w:rPr>
          <w:szCs w:val="18"/>
        </w:rPr>
        <w:t xml:space="preserve"> (SDR Disciplines)</w:t>
      </w:r>
      <w:r w:rsidR="00645CD1" w:rsidRPr="00B54807">
        <w:rPr>
          <w:szCs w:val="18"/>
        </w:rPr>
        <w:t xml:space="preserve"> and </w:t>
      </w:r>
      <w:r w:rsidRPr="00B54807">
        <w:rPr>
          <w:szCs w:val="18"/>
        </w:rPr>
        <w:t>G</w:t>
      </w:r>
      <w:r w:rsidR="00524A3D" w:rsidRPr="00B54807">
        <w:rPr>
          <w:szCs w:val="18"/>
        </w:rPr>
        <w:t>u</w:t>
      </w:r>
      <w:r w:rsidRPr="00B54807">
        <w:rPr>
          <w:szCs w:val="18"/>
        </w:rPr>
        <w:t xml:space="preserve">yana's </w:t>
      </w:r>
      <w:r w:rsidR="00645CD1" w:rsidRPr="00B54807">
        <w:rPr>
          <w:szCs w:val="18"/>
        </w:rPr>
        <w:t>readiness to integrate</w:t>
      </w:r>
      <w:r w:rsidRPr="00B54807">
        <w:rPr>
          <w:szCs w:val="18"/>
        </w:rPr>
        <w:t xml:space="preserve"> the SDR Disciplines</w:t>
      </w:r>
      <w:r w:rsidR="00645CD1" w:rsidRPr="00B54807">
        <w:rPr>
          <w:szCs w:val="18"/>
        </w:rPr>
        <w:t xml:space="preserve"> in </w:t>
      </w:r>
      <w:r w:rsidR="00FA499F" w:rsidRPr="00B54807">
        <w:rPr>
          <w:szCs w:val="18"/>
        </w:rPr>
        <w:t xml:space="preserve">its </w:t>
      </w:r>
      <w:r w:rsidR="00645CD1" w:rsidRPr="00B54807">
        <w:rPr>
          <w:szCs w:val="18"/>
        </w:rPr>
        <w:t>GATS schedule</w:t>
      </w:r>
      <w:r w:rsidRPr="00B54807">
        <w:rPr>
          <w:szCs w:val="18"/>
        </w:rPr>
        <w:t xml:space="preserve">; </w:t>
      </w:r>
    </w:p>
    <w:p w14:paraId="602E0B8D" w14:textId="66E6C675" w:rsidR="001D0B41" w:rsidRPr="00B54807" w:rsidRDefault="001D0B41" w:rsidP="001D0B41">
      <w:pPr>
        <w:pStyle w:val="ListParagraph"/>
        <w:ind w:left="1440"/>
        <w:rPr>
          <w:szCs w:val="18"/>
        </w:rPr>
      </w:pPr>
    </w:p>
    <w:p w14:paraId="3A3467E4" w14:textId="7849B584" w:rsidR="001D0B41" w:rsidRPr="00B54807" w:rsidRDefault="001D0B41" w:rsidP="001D0B41">
      <w:pPr>
        <w:pStyle w:val="ListParagraph"/>
        <w:numPr>
          <w:ilvl w:val="1"/>
          <w:numId w:val="20"/>
        </w:numPr>
        <w:rPr>
          <w:szCs w:val="18"/>
        </w:rPr>
      </w:pPr>
      <w:r w:rsidRPr="00B54807">
        <w:rPr>
          <w:szCs w:val="18"/>
        </w:rPr>
        <w:t>Identifying</w:t>
      </w:r>
      <w:r w:rsidR="00D61264" w:rsidRPr="00B54807">
        <w:rPr>
          <w:szCs w:val="18"/>
        </w:rPr>
        <w:t xml:space="preserve"> possible </w:t>
      </w:r>
      <w:r w:rsidRPr="00B54807">
        <w:rPr>
          <w:szCs w:val="18"/>
        </w:rPr>
        <w:t xml:space="preserve">priority areas for </w:t>
      </w:r>
      <w:r w:rsidR="00FA499F" w:rsidRPr="00B54807">
        <w:rPr>
          <w:szCs w:val="18"/>
        </w:rPr>
        <w:t>GRPs-related</w:t>
      </w:r>
      <w:r w:rsidRPr="00B54807">
        <w:rPr>
          <w:szCs w:val="18"/>
        </w:rPr>
        <w:t xml:space="preserve"> reform to boost the domestic market and foster international competitiveness.</w:t>
      </w:r>
    </w:p>
    <w:p w14:paraId="192C9CA6" w14:textId="77777777" w:rsidR="001D0B41" w:rsidRPr="00B54807" w:rsidRDefault="001D0B41" w:rsidP="001D0B41">
      <w:pPr>
        <w:pStyle w:val="ListParagraph"/>
        <w:ind w:left="1440"/>
        <w:rPr>
          <w:szCs w:val="18"/>
        </w:rPr>
      </w:pPr>
    </w:p>
    <w:p w14:paraId="484B4AC8" w14:textId="089F8815" w:rsidR="00F219FF" w:rsidRPr="00B54807" w:rsidRDefault="00DA26BE" w:rsidP="00F219FF">
      <w:pPr>
        <w:numPr>
          <w:ilvl w:val="0"/>
          <w:numId w:val="20"/>
        </w:numPr>
        <w:tabs>
          <w:tab w:val="left" w:pos="720"/>
        </w:tabs>
        <w:spacing w:after="120"/>
        <w:ind w:left="714" w:hanging="357"/>
        <w:rPr>
          <w:szCs w:val="18"/>
        </w:rPr>
      </w:pPr>
      <w:r w:rsidRPr="00B54807">
        <w:rPr>
          <w:szCs w:val="18"/>
        </w:rPr>
        <w:t>With t</w:t>
      </w:r>
      <w:r w:rsidR="00621254" w:rsidRPr="00B54807">
        <w:rPr>
          <w:szCs w:val="18"/>
        </w:rPr>
        <w:t>he Ministry of Foreign Affairs and International Cooperation</w:t>
      </w:r>
      <w:r w:rsidRPr="00B54807">
        <w:rPr>
          <w:szCs w:val="18"/>
        </w:rPr>
        <w:t>, discuss and identify possible next steps and capacity-building needs, including with concrete follow-up actions (timelines, focal points).</w:t>
      </w:r>
    </w:p>
    <w:p w14:paraId="0B80AACC" w14:textId="77777777" w:rsidR="00F219FF" w:rsidRPr="00B54807" w:rsidRDefault="00F219FF" w:rsidP="00F219FF">
      <w:pPr>
        <w:rPr>
          <w:bCs/>
          <w:szCs w:val="18"/>
        </w:rPr>
      </w:pPr>
    </w:p>
    <w:p w14:paraId="6224FE84" w14:textId="33132769" w:rsidR="00F219FF" w:rsidRPr="00B54807" w:rsidRDefault="00A07CD7" w:rsidP="00F219FF">
      <w:pPr>
        <w:rPr>
          <w:bCs/>
          <w:szCs w:val="18"/>
        </w:rPr>
      </w:pPr>
      <w:r w:rsidRPr="00B54807">
        <w:rPr>
          <w:bCs/>
          <w:szCs w:val="18"/>
        </w:rPr>
        <w:t xml:space="preserve">Relevant reports compiling the results of the survey (including a services trade restrictions policy note, a list of services trade restrictive measures, the Services Trade Restrictions Index (STRI) and the </w:t>
      </w:r>
      <w:r w:rsidR="00366F8B" w:rsidRPr="00B54807">
        <w:rPr>
          <w:bCs/>
          <w:szCs w:val="18"/>
        </w:rPr>
        <w:t>SDR</w:t>
      </w:r>
      <w:r w:rsidRPr="00B54807">
        <w:rPr>
          <w:bCs/>
          <w:szCs w:val="18"/>
        </w:rPr>
        <w:t xml:space="preserve"> Visualization Board</w:t>
      </w:r>
      <w:r w:rsidR="00C67738" w:rsidRPr="00B54807">
        <w:rPr>
          <w:bCs/>
          <w:szCs w:val="18"/>
        </w:rPr>
        <w:t>)</w:t>
      </w:r>
      <w:r w:rsidRPr="00B54807">
        <w:rPr>
          <w:bCs/>
          <w:szCs w:val="18"/>
        </w:rPr>
        <w:t xml:space="preserve"> </w:t>
      </w:r>
      <w:r w:rsidR="00F219FF" w:rsidRPr="00B54807">
        <w:rPr>
          <w:bCs/>
          <w:szCs w:val="18"/>
        </w:rPr>
        <w:t xml:space="preserve">will be prepared by the WTO Secretariat ahead of the workshop. </w:t>
      </w:r>
    </w:p>
    <w:p w14:paraId="404506D0" w14:textId="77777777" w:rsidR="00F219FF" w:rsidRPr="00B54807" w:rsidRDefault="00F219FF" w:rsidP="00F219FF">
      <w:pPr>
        <w:rPr>
          <w:bCs/>
          <w:szCs w:val="18"/>
        </w:rPr>
      </w:pPr>
    </w:p>
    <w:p w14:paraId="332332E1" w14:textId="318527A7" w:rsidR="00B54807" w:rsidRPr="00B54807" w:rsidRDefault="00F219FF" w:rsidP="00F219FF">
      <w:pPr>
        <w:rPr>
          <w:bCs/>
          <w:szCs w:val="18"/>
        </w:rPr>
      </w:pPr>
      <w:r w:rsidRPr="00B54807">
        <w:rPr>
          <w:bCs/>
          <w:szCs w:val="18"/>
        </w:rPr>
        <w:t xml:space="preserve">The workshop will be co-facilitated by the </w:t>
      </w:r>
      <w:r w:rsidRPr="00B54807">
        <w:rPr>
          <w:szCs w:val="18"/>
        </w:rPr>
        <w:t>Ministry of Foreign Affairs and International Cooperation, the</w:t>
      </w:r>
      <w:r w:rsidRPr="00B54807">
        <w:rPr>
          <w:b/>
          <w:bCs/>
          <w:szCs w:val="18"/>
        </w:rPr>
        <w:t xml:space="preserve"> </w:t>
      </w:r>
      <w:r w:rsidRPr="00B54807">
        <w:rPr>
          <w:szCs w:val="18"/>
        </w:rPr>
        <w:t>WTO Secretariat</w:t>
      </w:r>
      <w:r w:rsidR="00645CD1" w:rsidRPr="00B54807">
        <w:rPr>
          <w:szCs w:val="18"/>
        </w:rPr>
        <w:t>, the World Bank</w:t>
      </w:r>
      <w:r w:rsidRPr="00B54807">
        <w:rPr>
          <w:szCs w:val="18"/>
        </w:rPr>
        <w:t xml:space="preserve"> and the IDB</w:t>
      </w:r>
      <w:r w:rsidRPr="00B54807">
        <w:rPr>
          <w:bCs/>
          <w:szCs w:val="18"/>
        </w:rPr>
        <w:t>.</w:t>
      </w:r>
    </w:p>
    <w:p w14:paraId="5C4EF8EC" w14:textId="77777777" w:rsidR="00B54807" w:rsidRPr="00B54807" w:rsidRDefault="00B54807">
      <w:pPr>
        <w:spacing w:after="200" w:line="276" w:lineRule="auto"/>
        <w:jc w:val="left"/>
        <w:rPr>
          <w:bCs/>
          <w:szCs w:val="18"/>
        </w:rPr>
      </w:pPr>
      <w:r w:rsidRPr="00B54807">
        <w:rPr>
          <w:bCs/>
          <w:szCs w:val="18"/>
        </w:rPr>
        <w:br w:type="page"/>
      </w:r>
    </w:p>
    <w:p w14:paraId="31E03DD8" w14:textId="617C9575" w:rsidR="00B54807" w:rsidRDefault="00B54807" w:rsidP="00B54807">
      <w:pPr>
        <w:jc w:val="center"/>
        <w:rPr>
          <w:b/>
          <w:bCs/>
          <w:szCs w:val="18"/>
        </w:rPr>
      </w:pPr>
      <w:r w:rsidRPr="00B54807">
        <w:rPr>
          <w:b/>
          <w:bCs/>
          <w:szCs w:val="18"/>
        </w:rPr>
        <w:lastRenderedPageBreak/>
        <w:t>DRAFT PROGRAMME</w:t>
      </w:r>
    </w:p>
    <w:p w14:paraId="3116163A" w14:textId="77777777" w:rsidR="00B54807" w:rsidRDefault="00B54807" w:rsidP="00B54807">
      <w:pPr>
        <w:jc w:val="center"/>
        <w:rPr>
          <w:b/>
          <w:bCs/>
          <w:szCs w:val="18"/>
        </w:rPr>
      </w:pPr>
    </w:p>
    <w:p w14:paraId="276D8503" w14:textId="77777777" w:rsidR="00B54807" w:rsidRPr="00B54807" w:rsidRDefault="00B54807" w:rsidP="00B54807">
      <w:pPr>
        <w:jc w:val="center"/>
        <w:rPr>
          <w:b/>
          <w:bCs/>
          <w:szCs w:val="18"/>
        </w:rPr>
      </w:pPr>
    </w:p>
    <w:p w14:paraId="70D48331" w14:textId="67C72C16" w:rsidR="00F219FF" w:rsidRDefault="00D95F9A" w:rsidP="00F219FF">
      <w:pPr>
        <w:shd w:val="clear" w:color="auto" w:fill="D3C187"/>
        <w:outlineLvl w:val="0"/>
        <w:rPr>
          <w:b/>
          <w:szCs w:val="18"/>
          <w:shd w:val="clear" w:color="auto" w:fill="D3C187"/>
        </w:rPr>
      </w:pPr>
      <w:r w:rsidRPr="00B54807">
        <w:rPr>
          <w:b/>
          <w:szCs w:val="18"/>
          <w:shd w:val="clear" w:color="auto" w:fill="D3C187"/>
        </w:rPr>
        <w:t>16 June</w:t>
      </w:r>
    </w:p>
    <w:p w14:paraId="70C9A42B" w14:textId="77777777" w:rsidR="00B54807" w:rsidRPr="00B54807" w:rsidRDefault="00B54807" w:rsidP="00F219FF">
      <w:pPr>
        <w:shd w:val="clear" w:color="auto" w:fill="D3C187"/>
        <w:outlineLvl w:val="0"/>
        <w:rPr>
          <w:b/>
          <w:szCs w:val="18"/>
        </w:rPr>
      </w:pPr>
    </w:p>
    <w:p w14:paraId="23B9D335" w14:textId="77777777" w:rsidR="00F219FF" w:rsidRPr="00B54807" w:rsidRDefault="00F219FF" w:rsidP="00F219FF">
      <w:pPr>
        <w:rPr>
          <w:b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F219FF" w:rsidRPr="00B54807" w14:paraId="437DFEA4" w14:textId="77777777">
        <w:tc>
          <w:tcPr>
            <w:tcW w:w="1555" w:type="dxa"/>
          </w:tcPr>
          <w:p w14:paraId="2AE85B04" w14:textId="77777777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8h30-9h00</w:t>
            </w:r>
          </w:p>
        </w:tc>
        <w:tc>
          <w:tcPr>
            <w:tcW w:w="7461" w:type="dxa"/>
          </w:tcPr>
          <w:p w14:paraId="2EF87C39" w14:textId="2237B228" w:rsidR="00F219FF" w:rsidRPr="00B54807" w:rsidRDefault="00F219FF">
            <w:pPr>
              <w:rPr>
                <w:b/>
                <w:szCs w:val="18"/>
              </w:rPr>
            </w:pPr>
            <w:r w:rsidRPr="00B54807">
              <w:rPr>
                <w:b/>
                <w:szCs w:val="18"/>
              </w:rPr>
              <w:t>Registration</w:t>
            </w:r>
          </w:p>
          <w:p w14:paraId="77D1B79D" w14:textId="77777777" w:rsidR="00F219FF" w:rsidRPr="00073934" w:rsidRDefault="00F219FF" w:rsidP="00073934">
            <w:pPr>
              <w:rPr>
                <w:bCs/>
                <w:szCs w:val="18"/>
              </w:rPr>
            </w:pPr>
          </w:p>
        </w:tc>
      </w:tr>
      <w:tr w:rsidR="00073934" w:rsidRPr="00B54807" w14:paraId="56323D45" w14:textId="77777777">
        <w:tc>
          <w:tcPr>
            <w:tcW w:w="1555" w:type="dxa"/>
          </w:tcPr>
          <w:p w14:paraId="509818C9" w14:textId="4FA14044" w:rsidR="00073934" w:rsidRPr="00B54807" w:rsidRDefault="0007393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9</w:t>
            </w:r>
            <w:r w:rsidRPr="00B54807">
              <w:rPr>
                <w:bCs/>
                <w:szCs w:val="18"/>
              </w:rPr>
              <w:t>h</w:t>
            </w:r>
            <w:r>
              <w:rPr>
                <w:bCs/>
                <w:szCs w:val="18"/>
              </w:rPr>
              <w:t>0</w:t>
            </w:r>
            <w:r w:rsidRPr="00B54807">
              <w:rPr>
                <w:bCs/>
                <w:szCs w:val="18"/>
              </w:rPr>
              <w:t>0-9h</w:t>
            </w:r>
            <w:r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2F8FAB67" w14:textId="2E4FA81E" w:rsidR="00073934" w:rsidRDefault="000337E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Welcome and introductory remarks</w:t>
            </w:r>
          </w:p>
          <w:p w14:paraId="0E1B78D9" w14:textId="77777777" w:rsidR="00073934" w:rsidRDefault="00073934" w:rsidP="00073934">
            <w:pPr>
              <w:pStyle w:val="ListParagraph"/>
              <w:numPr>
                <w:ilvl w:val="0"/>
                <w:numId w:val="21"/>
              </w:num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Welcome and opening remarks by Guyana (Ministry of Foreign Affairs &amp; International Cooperation)</w:t>
            </w:r>
          </w:p>
          <w:p w14:paraId="4D6A04E8" w14:textId="77777777" w:rsidR="00073934" w:rsidRPr="000D671E" w:rsidRDefault="00073934" w:rsidP="000D671E">
            <w:pPr>
              <w:pStyle w:val="ListParagraph"/>
              <w:numPr>
                <w:ilvl w:val="0"/>
                <w:numId w:val="21"/>
              </w:numPr>
              <w:rPr>
                <w:b/>
                <w:szCs w:val="18"/>
              </w:rPr>
            </w:pPr>
            <w:r>
              <w:rPr>
                <w:bCs/>
                <w:szCs w:val="18"/>
              </w:rPr>
              <w:t>Opening remarks by WTO</w:t>
            </w:r>
            <w:r w:rsidR="000D671E">
              <w:rPr>
                <w:bCs/>
                <w:szCs w:val="18"/>
              </w:rPr>
              <w:t>-World Bank and</w:t>
            </w:r>
            <w:r>
              <w:rPr>
                <w:bCs/>
                <w:szCs w:val="18"/>
              </w:rPr>
              <w:t xml:space="preserve"> </w:t>
            </w:r>
            <w:r w:rsidR="000D671E">
              <w:rPr>
                <w:bCs/>
                <w:szCs w:val="18"/>
              </w:rPr>
              <w:t xml:space="preserve">IDB </w:t>
            </w:r>
          </w:p>
          <w:p w14:paraId="75FBC144" w14:textId="6E5A440A" w:rsidR="000D671E" w:rsidRPr="00B54807" w:rsidRDefault="000D671E" w:rsidP="000D671E">
            <w:pPr>
              <w:pStyle w:val="ListParagraph"/>
              <w:rPr>
                <w:b/>
                <w:szCs w:val="18"/>
              </w:rPr>
            </w:pPr>
          </w:p>
        </w:tc>
      </w:tr>
      <w:tr w:rsidR="00F219FF" w:rsidRPr="00B54807" w14:paraId="119B8342" w14:textId="77777777">
        <w:tc>
          <w:tcPr>
            <w:tcW w:w="1555" w:type="dxa"/>
          </w:tcPr>
          <w:p w14:paraId="539EB61D" w14:textId="05A4F4DE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9h</w:t>
            </w:r>
            <w:r w:rsidR="00B401EC">
              <w:rPr>
                <w:bCs/>
                <w:szCs w:val="18"/>
              </w:rPr>
              <w:t>30</w:t>
            </w:r>
            <w:r w:rsidRPr="00B54807">
              <w:rPr>
                <w:bCs/>
                <w:szCs w:val="18"/>
              </w:rPr>
              <w:t>-10h30</w:t>
            </w:r>
          </w:p>
        </w:tc>
        <w:tc>
          <w:tcPr>
            <w:tcW w:w="7461" w:type="dxa"/>
          </w:tcPr>
          <w:p w14:paraId="0ABD5CE4" w14:textId="77777777" w:rsidR="00F219FF" w:rsidRPr="00B54807" w:rsidRDefault="00F219FF">
            <w:pPr>
              <w:rPr>
                <w:b/>
                <w:szCs w:val="18"/>
              </w:rPr>
            </w:pPr>
            <w:r w:rsidRPr="00B54807">
              <w:rPr>
                <w:b/>
                <w:szCs w:val="18"/>
              </w:rPr>
              <w:t xml:space="preserve">Introduction of the Workshop </w:t>
            </w:r>
          </w:p>
          <w:p w14:paraId="1DA14EF4" w14:textId="77777777" w:rsidR="00F219FF" w:rsidRPr="00B54807" w:rsidRDefault="00F219FF" w:rsidP="00F219FF">
            <w:pPr>
              <w:pStyle w:val="ListParagraph"/>
              <w:numPr>
                <w:ilvl w:val="0"/>
                <w:numId w:val="21"/>
              </w:num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Objectives of the workshop</w:t>
            </w:r>
          </w:p>
          <w:p w14:paraId="289A0D29" w14:textId="77777777" w:rsidR="00F219FF" w:rsidRPr="00B54807" w:rsidRDefault="00F219FF" w:rsidP="00D95F9A">
            <w:pPr>
              <w:pStyle w:val="ListParagraph"/>
              <w:numPr>
                <w:ilvl w:val="0"/>
                <w:numId w:val="21"/>
              </w:num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 xml:space="preserve">Background, context, and update on work carried out </w:t>
            </w:r>
          </w:p>
          <w:p w14:paraId="1F260BB3" w14:textId="41B166FC" w:rsidR="00D95F9A" w:rsidRPr="00B54807" w:rsidRDefault="00D95F9A" w:rsidP="00D95F9A">
            <w:pPr>
              <w:pStyle w:val="ListParagraph"/>
              <w:rPr>
                <w:bCs/>
                <w:szCs w:val="18"/>
              </w:rPr>
            </w:pPr>
          </w:p>
        </w:tc>
      </w:tr>
      <w:tr w:rsidR="00F219FF" w:rsidRPr="00B54807" w14:paraId="54C9F6F2" w14:textId="77777777">
        <w:tc>
          <w:tcPr>
            <w:tcW w:w="1555" w:type="dxa"/>
          </w:tcPr>
          <w:p w14:paraId="16073B6B" w14:textId="77777777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10h30-10h45</w:t>
            </w:r>
          </w:p>
        </w:tc>
        <w:tc>
          <w:tcPr>
            <w:tcW w:w="7461" w:type="dxa"/>
          </w:tcPr>
          <w:p w14:paraId="2E7F3371" w14:textId="77777777" w:rsidR="00F219FF" w:rsidRPr="00B54807" w:rsidRDefault="00F219FF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Coffee break</w:t>
            </w:r>
          </w:p>
          <w:p w14:paraId="60E53909" w14:textId="77777777" w:rsidR="00F219FF" w:rsidRPr="00B54807" w:rsidRDefault="00F219FF">
            <w:pPr>
              <w:rPr>
                <w:bCs/>
                <w:i/>
                <w:iCs/>
                <w:szCs w:val="18"/>
              </w:rPr>
            </w:pPr>
          </w:p>
        </w:tc>
      </w:tr>
      <w:tr w:rsidR="00F219FF" w:rsidRPr="00B54807" w14:paraId="0F40A261" w14:textId="77777777">
        <w:tc>
          <w:tcPr>
            <w:tcW w:w="1555" w:type="dxa"/>
          </w:tcPr>
          <w:p w14:paraId="6313723C" w14:textId="6C44E5A4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10h45-1</w:t>
            </w:r>
            <w:r w:rsidR="00073934">
              <w:rPr>
                <w:bCs/>
                <w:szCs w:val="18"/>
              </w:rPr>
              <w:t>1</w:t>
            </w:r>
            <w:r w:rsidRPr="00B54807">
              <w:rPr>
                <w:bCs/>
                <w:szCs w:val="18"/>
              </w:rPr>
              <w:t>h</w:t>
            </w:r>
            <w:r w:rsidR="00073934">
              <w:rPr>
                <w:bCs/>
                <w:szCs w:val="18"/>
              </w:rPr>
              <w:t>15</w:t>
            </w:r>
          </w:p>
        </w:tc>
        <w:tc>
          <w:tcPr>
            <w:tcW w:w="7461" w:type="dxa"/>
          </w:tcPr>
          <w:p w14:paraId="7099FE37" w14:textId="0A60AF1F" w:rsidR="00D95F9A" w:rsidRPr="00270D28" w:rsidRDefault="00073934" w:rsidP="00D95F9A">
            <w:pPr>
              <w:rPr>
                <w:b/>
                <w:szCs w:val="18"/>
              </w:rPr>
            </w:pPr>
            <w:r w:rsidRPr="00270D28">
              <w:rPr>
                <w:b/>
                <w:szCs w:val="18"/>
              </w:rPr>
              <w:t>Importance of trade in services for national economic development</w:t>
            </w:r>
            <w:r w:rsidR="00270D28" w:rsidRPr="00270D28">
              <w:rPr>
                <w:b/>
                <w:szCs w:val="18"/>
              </w:rPr>
              <w:t xml:space="preserve"> (</w:t>
            </w:r>
            <w:r w:rsidR="00270D28">
              <w:rPr>
                <w:b/>
                <w:szCs w:val="18"/>
              </w:rPr>
              <w:t xml:space="preserve">presentation by </w:t>
            </w:r>
            <w:r w:rsidRPr="00270D28">
              <w:rPr>
                <w:b/>
                <w:szCs w:val="18"/>
              </w:rPr>
              <w:t>IDB</w:t>
            </w:r>
            <w:r w:rsidR="00270D28" w:rsidRPr="00270D28">
              <w:rPr>
                <w:b/>
                <w:szCs w:val="18"/>
              </w:rPr>
              <w:t>)</w:t>
            </w:r>
          </w:p>
          <w:p w14:paraId="17B4D449" w14:textId="77777777" w:rsidR="00F219FF" w:rsidRPr="00270D28" w:rsidRDefault="00F219FF" w:rsidP="00D95F9A">
            <w:pPr>
              <w:pStyle w:val="ListParagraph"/>
              <w:rPr>
                <w:b/>
                <w:szCs w:val="18"/>
              </w:rPr>
            </w:pPr>
          </w:p>
        </w:tc>
      </w:tr>
      <w:tr w:rsidR="00073934" w:rsidRPr="00B54807" w14:paraId="510FC9C2" w14:textId="77777777">
        <w:tc>
          <w:tcPr>
            <w:tcW w:w="1555" w:type="dxa"/>
          </w:tcPr>
          <w:p w14:paraId="7BED1A95" w14:textId="6DE1055C" w:rsidR="00073934" w:rsidRPr="00B54807" w:rsidRDefault="0007393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11</w:t>
            </w:r>
            <w:r w:rsidRPr="00B54807">
              <w:rPr>
                <w:bCs/>
                <w:szCs w:val="18"/>
              </w:rPr>
              <w:t>h</w:t>
            </w:r>
            <w:r>
              <w:rPr>
                <w:bCs/>
                <w:szCs w:val="18"/>
              </w:rPr>
              <w:t>1</w:t>
            </w:r>
            <w:r w:rsidRPr="00B54807">
              <w:rPr>
                <w:bCs/>
                <w:szCs w:val="18"/>
              </w:rPr>
              <w:t>5-12h30</w:t>
            </w:r>
          </w:p>
        </w:tc>
        <w:tc>
          <w:tcPr>
            <w:tcW w:w="7461" w:type="dxa"/>
          </w:tcPr>
          <w:p w14:paraId="5221B745" w14:textId="06D135BD" w:rsidR="00073934" w:rsidRPr="00B54807" w:rsidRDefault="007F1B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Presentation of the WTO-World Bank </w:t>
            </w:r>
            <w:r w:rsidR="00B401EC">
              <w:rPr>
                <w:b/>
                <w:szCs w:val="18"/>
              </w:rPr>
              <w:t>S</w:t>
            </w:r>
            <w:r w:rsidR="00073934" w:rsidRPr="00B54807">
              <w:rPr>
                <w:b/>
                <w:szCs w:val="18"/>
              </w:rPr>
              <w:t>urvey</w:t>
            </w:r>
            <w:r w:rsidR="00B401EC">
              <w:rPr>
                <w:b/>
                <w:szCs w:val="18"/>
              </w:rPr>
              <w:t xml:space="preserve"> on Impediments to Services Trade:</w:t>
            </w:r>
            <w:r w:rsidR="00073934" w:rsidRPr="00B54807">
              <w:rPr>
                <w:b/>
                <w:szCs w:val="18"/>
              </w:rPr>
              <w:t xml:space="preserve"> various components and methodology for results production</w:t>
            </w:r>
            <w:r w:rsidR="00270D28">
              <w:rPr>
                <w:b/>
                <w:szCs w:val="18"/>
              </w:rPr>
              <w:t xml:space="preserve"> </w:t>
            </w:r>
          </w:p>
          <w:p w14:paraId="7280C4EE" w14:textId="77777777" w:rsidR="00073934" w:rsidRPr="00B54807" w:rsidRDefault="00073934">
            <w:pPr>
              <w:pStyle w:val="ListParagraph"/>
              <w:rPr>
                <w:b/>
                <w:szCs w:val="18"/>
              </w:rPr>
            </w:pPr>
          </w:p>
        </w:tc>
      </w:tr>
      <w:tr w:rsidR="00D95F9A" w:rsidRPr="00B54807" w14:paraId="0DF5F636" w14:textId="77777777">
        <w:tc>
          <w:tcPr>
            <w:tcW w:w="1555" w:type="dxa"/>
          </w:tcPr>
          <w:p w14:paraId="3DA21D02" w14:textId="6FA9A725" w:rsidR="00D95F9A" w:rsidRPr="00B54807" w:rsidRDefault="005D63B5" w:rsidP="00D95F9A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12h30-1</w:t>
            </w:r>
            <w:r w:rsidR="003D732E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3D732E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73CA9DBD" w14:textId="77777777" w:rsidR="00D95F9A" w:rsidRPr="00B54807" w:rsidRDefault="00D95F9A" w:rsidP="00D95F9A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Lunch</w:t>
            </w:r>
          </w:p>
          <w:p w14:paraId="19813C60" w14:textId="77777777" w:rsidR="00D95F9A" w:rsidRPr="00B54807" w:rsidRDefault="00D95F9A" w:rsidP="00D95F9A">
            <w:pPr>
              <w:rPr>
                <w:bCs/>
                <w:i/>
                <w:iCs/>
                <w:szCs w:val="18"/>
              </w:rPr>
            </w:pPr>
          </w:p>
        </w:tc>
      </w:tr>
      <w:tr w:rsidR="00F219FF" w:rsidRPr="00B54807" w14:paraId="38E340F6" w14:textId="77777777" w:rsidTr="00FB67FA">
        <w:trPr>
          <w:trHeight w:val="256"/>
        </w:trPr>
        <w:tc>
          <w:tcPr>
            <w:tcW w:w="1555" w:type="dxa"/>
          </w:tcPr>
          <w:p w14:paraId="2FF32619" w14:textId="23B7D28D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</w:t>
            </w:r>
            <w:r w:rsidR="003D732E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3D732E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0-16h</w:t>
            </w:r>
            <w:r w:rsidR="003D732E">
              <w:rPr>
                <w:bCs/>
                <w:szCs w:val="18"/>
              </w:rPr>
              <w:t>0</w:t>
            </w:r>
            <w:r w:rsidR="003258D5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6153B41D" w14:textId="46B087C8" w:rsidR="00F219FF" w:rsidRDefault="00B401E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Overview of Guyana's services regulatory framework</w:t>
            </w:r>
          </w:p>
          <w:p w14:paraId="66FDFD17" w14:textId="06CD5D8A" w:rsidR="00B401EC" w:rsidRPr="00B401EC" w:rsidRDefault="00B401EC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 w:rsidRPr="00B54807">
              <w:rPr>
                <w:bCs/>
                <w:szCs w:val="18"/>
                <w:lang w:val="en-US"/>
              </w:rPr>
              <w:t xml:space="preserve">Presentation of </w:t>
            </w:r>
            <w:r>
              <w:rPr>
                <w:bCs/>
                <w:szCs w:val="18"/>
                <w:lang w:val="en-US"/>
              </w:rPr>
              <w:t xml:space="preserve">the </w:t>
            </w:r>
            <w:r w:rsidRPr="00B54807">
              <w:rPr>
                <w:bCs/>
                <w:szCs w:val="18"/>
                <w:lang w:val="en-US"/>
              </w:rPr>
              <w:t>features</w:t>
            </w:r>
            <w:r>
              <w:rPr>
                <w:bCs/>
                <w:szCs w:val="18"/>
                <w:lang w:val="en-US"/>
              </w:rPr>
              <w:t xml:space="preserve"> of Guyana's regulatory framework</w:t>
            </w:r>
            <w:r w:rsidRPr="00B54807">
              <w:rPr>
                <w:bCs/>
                <w:szCs w:val="18"/>
                <w:lang w:val="en-US"/>
              </w:rPr>
              <w:t xml:space="preserve"> </w:t>
            </w:r>
            <w:r w:rsidRPr="00B54807">
              <w:rPr>
                <w:szCs w:val="18"/>
              </w:rPr>
              <w:t>pertaining to services trade policy</w:t>
            </w:r>
          </w:p>
        </w:tc>
      </w:tr>
    </w:tbl>
    <w:p w14:paraId="2A2F856A" w14:textId="77777777" w:rsidR="00F219FF" w:rsidRPr="00B54807" w:rsidRDefault="00F219FF" w:rsidP="00F219FF">
      <w:pPr>
        <w:rPr>
          <w:b/>
          <w:szCs w:val="18"/>
        </w:rPr>
      </w:pPr>
    </w:p>
    <w:p w14:paraId="7C1DFAF3" w14:textId="40ED5FAA" w:rsidR="00F219FF" w:rsidRDefault="00D95F9A" w:rsidP="00F219FF">
      <w:pPr>
        <w:keepNext/>
        <w:shd w:val="clear" w:color="auto" w:fill="D3C187"/>
        <w:outlineLvl w:val="0"/>
        <w:rPr>
          <w:b/>
          <w:szCs w:val="18"/>
          <w:shd w:val="clear" w:color="auto" w:fill="D3C187"/>
        </w:rPr>
      </w:pPr>
      <w:r w:rsidRPr="00B54807">
        <w:rPr>
          <w:b/>
          <w:szCs w:val="18"/>
          <w:shd w:val="clear" w:color="auto" w:fill="D3C187"/>
        </w:rPr>
        <w:t>17 June</w:t>
      </w:r>
    </w:p>
    <w:p w14:paraId="1B1510AA" w14:textId="77777777" w:rsidR="00B54807" w:rsidRPr="00B54807" w:rsidRDefault="00B54807" w:rsidP="00F219FF">
      <w:pPr>
        <w:keepNext/>
        <w:shd w:val="clear" w:color="auto" w:fill="D3C187"/>
        <w:outlineLvl w:val="0"/>
        <w:rPr>
          <w:b/>
          <w:szCs w:val="18"/>
        </w:rPr>
      </w:pPr>
    </w:p>
    <w:p w14:paraId="253130C1" w14:textId="77777777" w:rsidR="00F219FF" w:rsidRPr="00B54807" w:rsidRDefault="00F219FF" w:rsidP="00F219FF">
      <w:pPr>
        <w:rPr>
          <w:b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F219FF" w:rsidRPr="00B54807" w14:paraId="74CC67B0" w14:textId="77777777">
        <w:tc>
          <w:tcPr>
            <w:tcW w:w="1555" w:type="dxa"/>
          </w:tcPr>
          <w:p w14:paraId="6B2830B4" w14:textId="3D97D17F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9h00-1</w:t>
            </w:r>
            <w:r w:rsidR="00D95F9A" w:rsidRPr="00B54807">
              <w:rPr>
                <w:bCs/>
                <w:szCs w:val="18"/>
              </w:rPr>
              <w:t>0</w:t>
            </w:r>
            <w:r w:rsidRPr="00B54807">
              <w:rPr>
                <w:bCs/>
                <w:szCs w:val="18"/>
              </w:rPr>
              <w:t>:</w:t>
            </w:r>
            <w:r w:rsidR="00D95F9A" w:rsidRPr="00B54807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6C27828C" w14:textId="77777777" w:rsidR="00EC26B5" w:rsidRDefault="004E5085" w:rsidP="004E5085">
            <w:pPr>
              <w:rPr>
                <w:b/>
                <w:szCs w:val="18"/>
                <w:lang w:val="en-US"/>
              </w:rPr>
            </w:pPr>
            <w:r w:rsidRPr="004E5085">
              <w:rPr>
                <w:b/>
                <w:szCs w:val="18"/>
                <w:lang w:val="en-US"/>
              </w:rPr>
              <w:t xml:space="preserve">Presentation of reports on potential market access and national treatment limitations </w:t>
            </w:r>
          </w:p>
          <w:p w14:paraId="64B56F5F" w14:textId="28AE50B0" w:rsidR="005D63B5" w:rsidRPr="00EC26B5" w:rsidRDefault="00463271" w:rsidP="00EC26B5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Analysis</w:t>
            </w:r>
            <w:r w:rsidR="00D30A90" w:rsidRPr="00EC26B5">
              <w:rPr>
                <w:bCs/>
                <w:szCs w:val="18"/>
                <w:lang w:val="en-US"/>
              </w:rPr>
              <w:t xml:space="preserve"> of reports on potential market access and national treatment limitations</w:t>
            </w:r>
          </w:p>
          <w:p w14:paraId="505C022D" w14:textId="1E2B9F3D" w:rsidR="001A2AD5" w:rsidRPr="00D30A90" w:rsidRDefault="00D30A90" w:rsidP="00D30A90">
            <w:pPr>
              <w:pStyle w:val="ListParagraph"/>
              <w:numPr>
                <w:ilvl w:val="0"/>
                <w:numId w:val="25"/>
              </w:num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Lists of restrictions (or non-conforming measures)</w:t>
            </w:r>
          </w:p>
        </w:tc>
      </w:tr>
      <w:tr w:rsidR="00D95F9A" w:rsidRPr="00B54807" w14:paraId="7D478B7B" w14:textId="77777777">
        <w:tc>
          <w:tcPr>
            <w:tcW w:w="1555" w:type="dxa"/>
          </w:tcPr>
          <w:p w14:paraId="1EB0B9CB" w14:textId="77777777" w:rsidR="00D95F9A" w:rsidRPr="00B54807" w:rsidRDefault="00D95F9A">
            <w:pPr>
              <w:rPr>
                <w:bCs/>
                <w:szCs w:val="18"/>
              </w:rPr>
            </w:pPr>
          </w:p>
        </w:tc>
        <w:tc>
          <w:tcPr>
            <w:tcW w:w="7461" w:type="dxa"/>
          </w:tcPr>
          <w:p w14:paraId="7CD472DD" w14:textId="77777777" w:rsidR="00D95F9A" w:rsidRPr="00B54807" w:rsidRDefault="00D95F9A">
            <w:pPr>
              <w:rPr>
                <w:b/>
                <w:szCs w:val="18"/>
              </w:rPr>
            </w:pPr>
          </w:p>
        </w:tc>
      </w:tr>
      <w:tr w:rsidR="00D95F9A" w:rsidRPr="00B54807" w14:paraId="679A8ED1" w14:textId="77777777" w:rsidTr="00D95F9A">
        <w:tc>
          <w:tcPr>
            <w:tcW w:w="1555" w:type="dxa"/>
          </w:tcPr>
          <w:p w14:paraId="15EDECC8" w14:textId="77777777" w:rsidR="00D95F9A" w:rsidRPr="00B54807" w:rsidRDefault="00D95F9A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10h30-10h45</w:t>
            </w:r>
          </w:p>
        </w:tc>
        <w:tc>
          <w:tcPr>
            <w:tcW w:w="7461" w:type="dxa"/>
          </w:tcPr>
          <w:p w14:paraId="63A16489" w14:textId="77777777" w:rsidR="00D95F9A" w:rsidRPr="00B54807" w:rsidRDefault="00D95F9A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Coffee break</w:t>
            </w:r>
          </w:p>
          <w:p w14:paraId="419AB83B" w14:textId="77777777" w:rsidR="00D95F9A" w:rsidRPr="00B54807" w:rsidRDefault="00D95F9A">
            <w:pPr>
              <w:rPr>
                <w:bCs/>
                <w:i/>
                <w:iCs/>
                <w:szCs w:val="18"/>
              </w:rPr>
            </w:pPr>
          </w:p>
        </w:tc>
      </w:tr>
      <w:tr w:rsidR="00D95F9A" w:rsidRPr="00B54807" w14:paraId="49D75BFC" w14:textId="77777777" w:rsidTr="00D95F9A">
        <w:tc>
          <w:tcPr>
            <w:tcW w:w="1555" w:type="dxa"/>
          </w:tcPr>
          <w:p w14:paraId="149E41B9" w14:textId="662E0559" w:rsidR="00D95F9A" w:rsidRPr="00B54807" w:rsidRDefault="00FE0DC7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10h45-1</w:t>
            </w:r>
            <w:r w:rsidR="00703D9B" w:rsidRPr="00B54807">
              <w:rPr>
                <w:bCs/>
                <w:szCs w:val="18"/>
              </w:rPr>
              <w:t>2</w:t>
            </w:r>
            <w:r w:rsidRPr="00B54807">
              <w:rPr>
                <w:bCs/>
                <w:szCs w:val="18"/>
              </w:rPr>
              <w:t>h</w:t>
            </w:r>
            <w:r w:rsidR="00703D9B" w:rsidRPr="00B54807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 xml:space="preserve">0 </w:t>
            </w:r>
          </w:p>
          <w:p w14:paraId="203656AD" w14:textId="26B5147B" w:rsidR="00FE0DC7" w:rsidRPr="00B54807" w:rsidRDefault="00FE0DC7">
            <w:pPr>
              <w:rPr>
                <w:bCs/>
                <w:szCs w:val="18"/>
              </w:rPr>
            </w:pPr>
          </w:p>
        </w:tc>
        <w:tc>
          <w:tcPr>
            <w:tcW w:w="7461" w:type="dxa"/>
          </w:tcPr>
          <w:p w14:paraId="4441EC3B" w14:textId="1E566A70" w:rsidR="00D95F9A" w:rsidRDefault="00D30A90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Analyzing </w:t>
            </w:r>
            <w:r w:rsidR="00B936A4">
              <w:rPr>
                <w:b/>
                <w:szCs w:val="18"/>
                <w:lang w:val="en-US"/>
              </w:rPr>
              <w:t xml:space="preserve">Guyana's </w:t>
            </w:r>
            <w:r>
              <w:rPr>
                <w:b/>
                <w:szCs w:val="18"/>
                <w:lang w:val="en-US"/>
              </w:rPr>
              <w:t>services trade policy and comparing with peer economies</w:t>
            </w:r>
          </w:p>
          <w:p w14:paraId="0CAC415F" w14:textId="0064817F" w:rsidR="00D30A90" w:rsidRPr="003258D5" w:rsidRDefault="00D30A90" w:rsidP="00D30A90">
            <w:pPr>
              <w:pStyle w:val="ListParagraph"/>
              <w:numPr>
                <w:ilvl w:val="0"/>
                <w:numId w:val="24"/>
              </w:numPr>
              <w:rPr>
                <w:bCs/>
                <w:szCs w:val="18"/>
                <w:lang w:val="en-US"/>
              </w:rPr>
            </w:pPr>
            <w:r w:rsidRPr="003258D5">
              <w:rPr>
                <w:bCs/>
                <w:szCs w:val="18"/>
                <w:lang w:val="en-US"/>
              </w:rPr>
              <w:t>Navigating the ITIP-Services interface</w:t>
            </w:r>
          </w:p>
          <w:p w14:paraId="6D6E06E1" w14:textId="30796872" w:rsidR="00D30A90" w:rsidRPr="003258D5" w:rsidRDefault="00D30A90" w:rsidP="00D30A90">
            <w:pPr>
              <w:pStyle w:val="ListParagraph"/>
              <w:numPr>
                <w:ilvl w:val="0"/>
                <w:numId w:val="24"/>
              </w:numPr>
              <w:rPr>
                <w:bCs/>
                <w:szCs w:val="18"/>
                <w:lang w:val="en-US"/>
              </w:rPr>
            </w:pPr>
            <w:r w:rsidRPr="003258D5">
              <w:rPr>
                <w:bCs/>
                <w:szCs w:val="18"/>
                <w:lang w:val="en-US"/>
              </w:rPr>
              <w:t>The Services Trade Restrictions Index and uses</w:t>
            </w:r>
          </w:p>
          <w:p w14:paraId="7CEB6F26" w14:textId="77777777" w:rsidR="00D30A90" w:rsidRPr="00D30A90" w:rsidRDefault="00D30A90" w:rsidP="00D30A90">
            <w:pPr>
              <w:pStyle w:val="ListParagraph"/>
              <w:numPr>
                <w:ilvl w:val="0"/>
                <w:numId w:val="24"/>
              </w:numPr>
              <w:rPr>
                <w:b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Practical exercise</w:t>
            </w:r>
          </w:p>
          <w:p w14:paraId="5FA7F7B9" w14:textId="7D052750" w:rsidR="00D30A90" w:rsidRPr="00D30A90" w:rsidRDefault="00E37D05" w:rsidP="00E37D05">
            <w:pPr>
              <w:pStyle w:val="ListParagraph"/>
              <w:numPr>
                <w:ilvl w:val="0"/>
                <w:numId w:val="24"/>
              </w:numPr>
              <w:rPr>
                <w:b/>
                <w:szCs w:val="18"/>
                <w:lang w:val="en-US"/>
              </w:rPr>
            </w:pPr>
            <w:r w:rsidRPr="00D30A90">
              <w:rPr>
                <w:bCs/>
                <w:szCs w:val="18"/>
                <w:lang w:val="en-US"/>
              </w:rPr>
              <w:t>Gather feedback from the Ministry of Foreign Affairs and International Cooperation and other stakeholders</w:t>
            </w:r>
          </w:p>
        </w:tc>
      </w:tr>
      <w:tr w:rsidR="00D95F9A" w:rsidRPr="00B54807" w14:paraId="456589B4" w14:textId="77777777" w:rsidTr="00D95F9A">
        <w:tc>
          <w:tcPr>
            <w:tcW w:w="1555" w:type="dxa"/>
          </w:tcPr>
          <w:p w14:paraId="7831C8F8" w14:textId="332AF8F4" w:rsidR="00D95F9A" w:rsidRPr="00B54807" w:rsidRDefault="005D63B5" w:rsidP="00D95F9A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12h30-1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56CC277B" w14:textId="77777777" w:rsidR="00D95F9A" w:rsidRPr="00B54807" w:rsidRDefault="00D95F9A" w:rsidP="00D95F9A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Lunch</w:t>
            </w:r>
          </w:p>
          <w:p w14:paraId="28F7CC4E" w14:textId="77777777" w:rsidR="00D95F9A" w:rsidRPr="00B54807" w:rsidRDefault="00D95F9A" w:rsidP="00D95F9A">
            <w:pPr>
              <w:rPr>
                <w:bCs/>
                <w:i/>
                <w:iCs/>
                <w:szCs w:val="18"/>
              </w:rPr>
            </w:pPr>
          </w:p>
        </w:tc>
      </w:tr>
      <w:tr w:rsidR="00D95F9A" w:rsidRPr="00B54807" w14:paraId="0974A2B7" w14:textId="77777777" w:rsidTr="00D95F9A">
        <w:tc>
          <w:tcPr>
            <w:tcW w:w="1555" w:type="dxa"/>
          </w:tcPr>
          <w:p w14:paraId="45B1678D" w14:textId="2E224FC8" w:rsidR="00D95F9A" w:rsidRPr="00B54807" w:rsidRDefault="00FE0DC7" w:rsidP="00D95F9A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0-16h</w:t>
            </w:r>
            <w:r w:rsidR="00714519">
              <w:rPr>
                <w:bCs/>
                <w:szCs w:val="18"/>
              </w:rPr>
              <w:t>0</w:t>
            </w:r>
            <w:r w:rsidR="00462A8D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51399DF2" w14:textId="30CD88FC" w:rsidR="00B936A4" w:rsidRDefault="00B936A4" w:rsidP="00B936A4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Analyzing Guyana's services trade policy and comparing with peer economies</w:t>
            </w:r>
            <w:r w:rsidR="00A55DA8">
              <w:rPr>
                <w:b/>
                <w:szCs w:val="18"/>
                <w:lang w:val="en-US"/>
              </w:rPr>
              <w:t xml:space="preserve"> (continued)</w:t>
            </w:r>
          </w:p>
          <w:p w14:paraId="41DE5521" w14:textId="66D10DA4" w:rsidR="00D95F9A" w:rsidRPr="00E37D05" w:rsidRDefault="00D95F9A" w:rsidP="00E37D05">
            <w:pPr>
              <w:rPr>
                <w:b/>
                <w:szCs w:val="18"/>
              </w:rPr>
            </w:pPr>
          </w:p>
        </w:tc>
      </w:tr>
    </w:tbl>
    <w:p w14:paraId="45709DDE" w14:textId="77777777" w:rsidR="00F219FF" w:rsidRPr="00B54807" w:rsidRDefault="00F219FF" w:rsidP="00F219FF">
      <w:pPr>
        <w:rPr>
          <w:b/>
          <w:szCs w:val="18"/>
          <w:u w:val="single"/>
        </w:rPr>
      </w:pPr>
    </w:p>
    <w:p w14:paraId="0C653295" w14:textId="75B87AEB" w:rsidR="00F219FF" w:rsidRDefault="00D95F9A" w:rsidP="00F219FF">
      <w:pPr>
        <w:keepNext/>
        <w:shd w:val="clear" w:color="auto" w:fill="D3C187"/>
        <w:outlineLvl w:val="0"/>
        <w:rPr>
          <w:b/>
          <w:szCs w:val="18"/>
          <w:shd w:val="clear" w:color="auto" w:fill="D3C187"/>
        </w:rPr>
      </w:pPr>
      <w:r w:rsidRPr="00B54807">
        <w:rPr>
          <w:b/>
          <w:szCs w:val="18"/>
          <w:shd w:val="clear" w:color="auto" w:fill="D3C187"/>
        </w:rPr>
        <w:t>18 June</w:t>
      </w:r>
    </w:p>
    <w:p w14:paraId="6218B9B0" w14:textId="77777777" w:rsidR="00B54807" w:rsidRPr="00B54807" w:rsidRDefault="00B54807" w:rsidP="00F219FF">
      <w:pPr>
        <w:keepNext/>
        <w:shd w:val="clear" w:color="auto" w:fill="D3C187"/>
        <w:outlineLvl w:val="0"/>
        <w:rPr>
          <w:b/>
          <w:szCs w:val="18"/>
        </w:rPr>
      </w:pPr>
    </w:p>
    <w:p w14:paraId="215224F2" w14:textId="77777777" w:rsidR="00F219FF" w:rsidRPr="00B54807" w:rsidRDefault="00F219FF" w:rsidP="00F219FF">
      <w:pPr>
        <w:keepNext/>
        <w:rPr>
          <w:b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F219FF" w:rsidRPr="00B54807" w14:paraId="2CE9595D" w14:textId="77777777" w:rsidTr="00773DFB">
        <w:tc>
          <w:tcPr>
            <w:tcW w:w="1555" w:type="dxa"/>
          </w:tcPr>
          <w:p w14:paraId="67600ED6" w14:textId="2B9D06AD" w:rsidR="00F219FF" w:rsidRPr="00B54807" w:rsidRDefault="00F219FF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9h00-1</w:t>
            </w:r>
            <w:r w:rsidR="00245AB5" w:rsidRPr="00B54807">
              <w:rPr>
                <w:bCs/>
                <w:szCs w:val="18"/>
              </w:rPr>
              <w:t>0</w:t>
            </w:r>
            <w:r w:rsidR="00454B43" w:rsidRPr="00B54807">
              <w:rPr>
                <w:bCs/>
                <w:szCs w:val="18"/>
              </w:rPr>
              <w:t>h</w:t>
            </w:r>
            <w:r w:rsidRPr="00B54807">
              <w:rPr>
                <w:bCs/>
                <w:szCs w:val="18"/>
              </w:rPr>
              <w:t>30</w:t>
            </w:r>
          </w:p>
        </w:tc>
        <w:tc>
          <w:tcPr>
            <w:tcW w:w="7461" w:type="dxa"/>
          </w:tcPr>
          <w:p w14:paraId="7271CFEC" w14:textId="5BC615FF" w:rsidR="00F219FF" w:rsidRPr="00B54807" w:rsidRDefault="002A1E5E">
            <w:pPr>
              <w:rPr>
                <w:b/>
                <w:szCs w:val="18"/>
                <w:lang w:val="en-US"/>
              </w:rPr>
            </w:pPr>
            <w:r w:rsidRPr="00B54807">
              <w:rPr>
                <w:b/>
                <w:szCs w:val="18"/>
                <w:lang w:val="en-US"/>
              </w:rPr>
              <w:t xml:space="preserve">Presentation of report on good regulatory practices </w:t>
            </w:r>
          </w:p>
          <w:p w14:paraId="06B9D8A7" w14:textId="13161403" w:rsidR="002A1E5E" w:rsidRPr="00B54807" w:rsidRDefault="00F97B04" w:rsidP="002A1E5E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 w:rsidRPr="00B54807">
              <w:rPr>
                <w:bCs/>
                <w:szCs w:val="18"/>
                <w:lang w:val="en-US"/>
              </w:rPr>
              <w:t>Presentation of GRPs</w:t>
            </w:r>
            <w:r w:rsidR="0024735F" w:rsidRPr="00B54807">
              <w:rPr>
                <w:bCs/>
                <w:szCs w:val="18"/>
                <w:lang w:val="en-US"/>
              </w:rPr>
              <w:t>-</w:t>
            </w:r>
            <w:r w:rsidRPr="00B54807">
              <w:rPr>
                <w:bCs/>
                <w:szCs w:val="18"/>
                <w:lang w:val="en-US"/>
              </w:rPr>
              <w:t>related data collected, including</w:t>
            </w:r>
            <w:r w:rsidR="0024735F" w:rsidRPr="00B54807">
              <w:rPr>
                <w:bCs/>
                <w:szCs w:val="18"/>
                <w:lang w:val="en-US"/>
              </w:rPr>
              <w:t xml:space="preserve"> key features,</w:t>
            </w:r>
            <w:r w:rsidRPr="00B54807">
              <w:rPr>
                <w:bCs/>
                <w:szCs w:val="18"/>
                <w:lang w:val="en-US"/>
              </w:rPr>
              <w:t xml:space="preserve"> areas of strength and weaknesses</w:t>
            </w:r>
          </w:p>
          <w:p w14:paraId="36861E73" w14:textId="03C04447" w:rsidR="002A1E5E" w:rsidRPr="00B54807" w:rsidRDefault="002A1E5E" w:rsidP="002A1E5E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 w:rsidRPr="00B54807">
              <w:rPr>
                <w:bCs/>
                <w:szCs w:val="18"/>
                <w:lang w:val="en-US"/>
              </w:rPr>
              <w:lastRenderedPageBreak/>
              <w:t>Assessment of compatibility with the Disciplines on Services Domestic Regulation (SDR Disciplines) and Gayana's readiness to integrate the SDR Disciplines in its GATS schedule</w:t>
            </w:r>
          </w:p>
          <w:p w14:paraId="736CDAF2" w14:textId="4BF65BA0" w:rsidR="002A1E5E" w:rsidRPr="00B54807" w:rsidRDefault="00390BAC" w:rsidP="00FA0E8E">
            <w:pPr>
              <w:pStyle w:val="ListParagraph"/>
              <w:numPr>
                <w:ilvl w:val="0"/>
                <w:numId w:val="23"/>
              </w:numPr>
              <w:rPr>
                <w:b/>
                <w:szCs w:val="18"/>
                <w:lang w:val="en-US"/>
              </w:rPr>
            </w:pPr>
            <w:r w:rsidRPr="00B54807">
              <w:rPr>
                <w:bCs/>
                <w:szCs w:val="18"/>
                <w:lang w:val="en-US"/>
              </w:rPr>
              <w:t>Gather feedback and discuss</w:t>
            </w:r>
            <w:r w:rsidR="00FA0E8E" w:rsidRPr="00B54807">
              <w:rPr>
                <w:bCs/>
                <w:szCs w:val="18"/>
                <w:lang w:val="en-US"/>
              </w:rPr>
              <w:t xml:space="preserve"> </w:t>
            </w:r>
            <w:r w:rsidR="00F2239F" w:rsidRPr="00B54807">
              <w:rPr>
                <w:bCs/>
                <w:szCs w:val="18"/>
                <w:lang w:val="en-US"/>
              </w:rPr>
              <w:t xml:space="preserve">with the Ministry of Foreign Affairs and International Cooperation and other stakeholders </w:t>
            </w:r>
            <w:r w:rsidR="00B54807" w:rsidRPr="00B54807">
              <w:rPr>
                <w:bCs/>
                <w:szCs w:val="18"/>
                <w:lang w:val="en-US"/>
              </w:rPr>
              <w:t xml:space="preserve">on </w:t>
            </w:r>
            <w:r w:rsidR="002A1E5E" w:rsidRPr="00B54807">
              <w:rPr>
                <w:bCs/>
                <w:szCs w:val="18"/>
                <w:lang w:val="en-US"/>
              </w:rPr>
              <w:t>potential priority areas for</w:t>
            </w:r>
            <w:r w:rsidR="0024735F" w:rsidRPr="00B54807">
              <w:rPr>
                <w:bCs/>
                <w:szCs w:val="18"/>
                <w:lang w:val="en-US"/>
              </w:rPr>
              <w:t xml:space="preserve"> GRPs-related</w:t>
            </w:r>
            <w:r w:rsidR="002A1E5E" w:rsidRPr="00B54807">
              <w:rPr>
                <w:bCs/>
                <w:szCs w:val="18"/>
                <w:lang w:val="en-US"/>
              </w:rPr>
              <w:t xml:space="preserve"> reform</w:t>
            </w:r>
            <w:r w:rsidR="00FA0E8E" w:rsidRPr="00B54807">
              <w:rPr>
                <w:bCs/>
                <w:szCs w:val="18"/>
                <w:lang w:val="en-US"/>
              </w:rPr>
              <w:t>s</w:t>
            </w:r>
          </w:p>
          <w:p w14:paraId="6B26070C" w14:textId="77777777" w:rsidR="00145FDB" w:rsidRPr="00B54807" w:rsidRDefault="00145FDB">
            <w:pPr>
              <w:rPr>
                <w:b/>
                <w:szCs w:val="18"/>
                <w:lang w:val="en-US"/>
              </w:rPr>
            </w:pPr>
          </w:p>
        </w:tc>
      </w:tr>
      <w:tr w:rsidR="00145FDB" w:rsidRPr="00B54807" w14:paraId="1CCA8170" w14:textId="77777777" w:rsidTr="00773DFB">
        <w:tc>
          <w:tcPr>
            <w:tcW w:w="1555" w:type="dxa"/>
          </w:tcPr>
          <w:p w14:paraId="5147290F" w14:textId="4BA124E3" w:rsidR="00145FDB" w:rsidRPr="00B54807" w:rsidRDefault="00145FDB" w:rsidP="00145FDB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lastRenderedPageBreak/>
              <w:t>10h30-10h45</w:t>
            </w:r>
          </w:p>
        </w:tc>
        <w:tc>
          <w:tcPr>
            <w:tcW w:w="7461" w:type="dxa"/>
          </w:tcPr>
          <w:p w14:paraId="0010F6A7" w14:textId="77777777" w:rsidR="00145FDB" w:rsidRPr="00B54807" w:rsidRDefault="00145FDB" w:rsidP="00145FDB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Coffee break</w:t>
            </w:r>
          </w:p>
          <w:p w14:paraId="31FEF35A" w14:textId="77777777" w:rsidR="00145FDB" w:rsidRPr="00B54807" w:rsidRDefault="00145FDB" w:rsidP="00145FDB">
            <w:pPr>
              <w:rPr>
                <w:b/>
                <w:szCs w:val="18"/>
                <w:lang w:val="en-US"/>
              </w:rPr>
            </w:pPr>
          </w:p>
        </w:tc>
      </w:tr>
      <w:tr w:rsidR="002A1E5E" w:rsidRPr="00B54807" w14:paraId="0F43FE23" w14:textId="77777777" w:rsidTr="00773DFB">
        <w:tc>
          <w:tcPr>
            <w:tcW w:w="1555" w:type="dxa"/>
          </w:tcPr>
          <w:p w14:paraId="5DD6B437" w14:textId="13AAC23E" w:rsidR="002A1E5E" w:rsidRPr="00B54807" w:rsidRDefault="002A1E5E" w:rsidP="00145FDB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10h45-1</w:t>
            </w:r>
            <w:r w:rsidR="00703D9B" w:rsidRPr="00B54807">
              <w:rPr>
                <w:bCs/>
                <w:szCs w:val="18"/>
              </w:rPr>
              <w:t>2</w:t>
            </w:r>
            <w:r w:rsidRPr="00B54807">
              <w:rPr>
                <w:bCs/>
                <w:szCs w:val="18"/>
              </w:rPr>
              <w:t>h</w:t>
            </w:r>
            <w:r w:rsidR="00703D9B" w:rsidRPr="00B54807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3E794321" w14:textId="011765C2" w:rsidR="002A1E5E" w:rsidRPr="00B54807" w:rsidRDefault="002A1E5E" w:rsidP="002A1E5E">
            <w:pPr>
              <w:rPr>
                <w:b/>
                <w:szCs w:val="18"/>
                <w:lang w:val="en-US"/>
              </w:rPr>
            </w:pPr>
            <w:r w:rsidRPr="00B54807">
              <w:rPr>
                <w:b/>
                <w:szCs w:val="18"/>
                <w:lang w:val="en-US"/>
              </w:rPr>
              <w:t>Presentation of the report on good regulatory practices (continued)</w:t>
            </w:r>
          </w:p>
          <w:p w14:paraId="10CC78D3" w14:textId="77777777" w:rsidR="002A1E5E" w:rsidRPr="00B54807" w:rsidRDefault="002A1E5E" w:rsidP="00145FDB">
            <w:pPr>
              <w:rPr>
                <w:bCs/>
                <w:i/>
                <w:iCs/>
                <w:szCs w:val="18"/>
                <w:lang w:val="en-US"/>
              </w:rPr>
            </w:pPr>
          </w:p>
        </w:tc>
      </w:tr>
      <w:tr w:rsidR="00145FDB" w:rsidRPr="00B54807" w14:paraId="2076FF44" w14:textId="77777777" w:rsidTr="00773DFB">
        <w:tc>
          <w:tcPr>
            <w:tcW w:w="1555" w:type="dxa"/>
          </w:tcPr>
          <w:p w14:paraId="3C0F94BB" w14:textId="017D160D" w:rsidR="00145FDB" w:rsidRPr="00B54807" w:rsidRDefault="00703D9B" w:rsidP="00145FDB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12h30-1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1E835D71" w14:textId="77777777" w:rsidR="00145FDB" w:rsidRPr="00B54807" w:rsidRDefault="00145FDB" w:rsidP="00145FDB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 xml:space="preserve">Lunch </w:t>
            </w:r>
          </w:p>
          <w:p w14:paraId="3CC9B023" w14:textId="77777777" w:rsidR="00145FDB" w:rsidRPr="00B54807" w:rsidRDefault="00145FDB" w:rsidP="00145FDB">
            <w:pPr>
              <w:rPr>
                <w:b/>
                <w:szCs w:val="18"/>
                <w:lang w:val="en-US"/>
              </w:rPr>
            </w:pPr>
          </w:p>
        </w:tc>
      </w:tr>
      <w:tr w:rsidR="002A1E5E" w:rsidRPr="00B54807" w14:paraId="27F67600" w14:textId="77777777" w:rsidTr="00773DFB">
        <w:tc>
          <w:tcPr>
            <w:tcW w:w="1555" w:type="dxa"/>
          </w:tcPr>
          <w:p w14:paraId="52F7CB0C" w14:textId="3BE684EB" w:rsidR="002A1E5E" w:rsidRPr="00B54807" w:rsidRDefault="002A1E5E" w:rsidP="002A1E5E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</w:t>
            </w:r>
            <w:r w:rsidR="00714519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h</w:t>
            </w:r>
            <w:r w:rsidR="00714519">
              <w:rPr>
                <w:bCs/>
                <w:szCs w:val="18"/>
              </w:rPr>
              <w:t>30</w:t>
            </w:r>
            <w:r w:rsidRPr="00B54807">
              <w:rPr>
                <w:bCs/>
                <w:szCs w:val="18"/>
              </w:rPr>
              <w:t>-1</w:t>
            </w:r>
            <w:r w:rsidR="005D63B5" w:rsidRPr="00B54807">
              <w:rPr>
                <w:bCs/>
                <w:szCs w:val="18"/>
              </w:rPr>
              <w:t>6</w:t>
            </w:r>
            <w:r w:rsidRPr="00B54807">
              <w:rPr>
                <w:bCs/>
                <w:szCs w:val="18"/>
              </w:rPr>
              <w:t>h</w:t>
            </w:r>
            <w:r w:rsidR="00A55DA8">
              <w:rPr>
                <w:bCs/>
                <w:szCs w:val="18"/>
              </w:rPr>
              <w:t>0</w:t>
            </w:r>
            <w:r w:rsidR="00462A8D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07356F2B" w14:textId="7DDB6014" w:rsidR="002A1E5E" w:rsidRPr="00B54807" w:rsidRDefault="002A1E5E" w:rsidP="002A1E5E">
            <w:pPr>
              <w:rPr>
                <w:b/>
                <w:szCs w:val="18"/>
                <w:lang w:val="en-US"/>
              </w:rPr>
            </w:pPr>
            <w:r w:rsidRPr="00B54807">
              <w:rPr>
                <w:b/>
                <w:szCs w:val="18"/>
                <w:lang w:val="en-US"/>
              </w:rPr>
              <w:t>Presentation of the report on good regulatory practices (continued)</w:t>
            </w:r>
          </w:p>
        </w:tc>
      </w:tr>
    </w:tbl>
    <w:p w14:paraId="04A20987" w14:textId="77777777" w:rsidR="00F219FF" w:rsidRPr="00B54807" w:rsidRDefault="00F219FF" w:rsidP="00F219FF">
      <w:pPr>
        <w:rPr>
          <w:szCs w:val="18"/>
        </w:rPr>
      </w:pPr>
    </w:p>
    <w:p w14:paraId="5962B2E4" w14:textId="1C03704B" w:rsidR="00651877" w:rsidRDefault="00651877" w:rsidP="00651877">
      <w:pPr>
        <w:keepNext/>
        <w:shd w:val="clear" w:color="auto" w:fill="D3C187"/>
        <w:outlineLvl w:val="0"/>
        <w:rPr>
          <w:b/>
          <w:szCs w:val="18"/>
          <w:shd w:val="clear" w:color="auto" w:fill="D3C187"/>
        </w:rPr>
      </w:pPr>
      <w:r w:rsidRPr="00B54807">
        <w:rPr>
          <w:b/>
          <w:szCs w:val="18"/>
          <w:shd w:val="clear" w:color="auto" w:fill="D3C187"/>
        </w:rPr>
        <w:t>19 June</w:t>
      </w:r>
    </w:p>
    <w:p w14:paraId="193D4A31" w14:textId="77777777" w:rsidR="00B54807" w:rsidRPr="00B54807" w:rsidRDefault="00B54807" w:rsidP="00651877">
      <w:pPr>
        <w:keepNext/>
        <w:shd w:val="clear" w:color="auto" w:fill="D3C187"/>
        <w:outlineLvl w:val="0"/>
        <w:rPr>
          <w:b/>
          <w:szCs w:val="18"/>
        </w:rPr>
      </w:pPr>
    </w:p>
    <w:p w14:paraId="3A75BDF4" w14:textId="77777777" w:rsidR="00651877" w:rsidRPr="00B54807" w:rsidRDefault="00651877" w:rsidP="00651877">
      <w:pPr>
        <w:keepNext/>
        <w:rPr>
          <w:b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5D63B5" w:rsidRPr="00B54807" w14:paraId="7F7C12BE" w14:textId="77777777">
        <w:tc>
          <w:tcPr>
            <w:tcW w:w="1555" w:type="dxa"/>
          </w:tcPr>
          <w:p w14:paraId="52050D69" w14:textId="046F75FD" w:rsidR="005D63B5" w:rsidRPr="00B54807" w:rsidRDefault="005D63B5" w:rsidP="005D63B5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9h00-1</w:t>
            </w:r>
            <w:r w:rsidR="00B401EC">
              <w:rPr>
                <w:bCs/>
                <w:szCs w:val="18"/>
              </w:rPr>
              <w:t>0</w:t>
            </w:r>
            <w:r w:rsidRPr="00B54807">
              <w:rPr>
                <w:bCs/>
                <w:szCs w:val="18"/>
              </w:rPr>
              <w:t>h</w:t>
            </w:r>
            <w:r w:rsidR="00B401EC">
              <w:rPr>
                <w:bCs/>
                <w:szCs w:val="18"/>
              </w:rPr>
              <w:t>3</w:t>
            </w:r>
            <w:r w:rsidRPr="00B54807">
              <w:rPr>
                <w:bCs/>
                <w:szCs w:val="18"/>
              </w:rPr>
              <w:t>0</w:t>
            </w:r>
          </w:p>
        </w:tc>
        <w:tc>
          <w:tcPr>
            <w:tcW w:w="7461" w:type="dxa"/>
          </w:tcPr>
          <w:p w14:paraId="3695DACC" w14:textId="1B57CC78" w:rsidR="005D63B5" w:rsidRDefault="00FE2FDD" w:rsidP="005D63B5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Introduction to t</w:t>
            </w:r>
            <w:r w:rsidR="00B401EC">
              <w:rPr>
                <w:b/>
                <w:szCs w:val="18"/>
                <w:lang w:val="en-US"/>
              </w:rPr>
              <w:t>he Trade in Services for Development (TS4D) Initiative</w:t>
            </w:r>
          </w:p>
          <w:p w14:paraId="3632D000" w14:textId="124BE260" w:rsidR="00650D93" w:rsidRDefault="00650D93" w:rsidP="00650D93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 w:rsidRPr="00B54807">
              <w:rPr>
                <w:bCs/>
                <w:szCs w:val="18"/>
                <w:lang w:val="en-US"/>
              </w:rPr>
              <w:t xml:space="preserve">Presentation of </w:t>
            </w:r>
            <w:r>
              <w:rPr>
                <w:bCs/>
                <w:szCs w:val="18"/>
                <w:lang w:val="en-US"/>
              </w:rPr>
              <w:t>the World Bank-WTO join</w:t>
            </w:r>
            <w:r w:rsidR="00FE2FDD">
              <w:rPr>
                <w:bCs/>
                <w:szCs w:val="18"/>
                <w:lang w:val="en-US"/>
              </w:rPr>
              <w:t>t</w:t>
            </w:r>
            <w:r>
              <w:rPr>
                <w:bCs/>
                <w:szCs w:val="18"/>
                <w:lang w:val="en-US"/>
              </w:rPr>
              <w:t xml:space="preserve"> TS4D initiative</w:t>
            </w:r>
            <w:r w:rsidR="00F6693E">
              <w:rPr>
                <w:bCs/>
                <w:szCs w:val="18"/>
                <w:lang w:val="en-US"/>
              </w:rPr>
              <w:t xml:space="preserve"> and platform</w:t>
            </w:r>
          </w:p>
          <w:p w14:paraId="39628DF2" w14:textId="556E166D" w:rsidR="00B81318" w:rsidRDefault="00A951D2" w:rsidP="005D63B5">
            <w:pPr>
              <w:pStyle w:val="ListParagraph"/>
              <w:numPr>
                <w:ilvl w:val="0"/>
                <w:numId w:val="23"/>
              </w:num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W</w:t>
            </w:r>
            <w:r w:rsidR="00F6693E" w:rsidRPr="00FD6633">
              <w:rPr>
                <w:bCs/>
                <w:szCs w:val="18"/>
                <w:lang w:val="en-US"/>
              </w:rPr>
              <w:t>orkstreams</w:t>
            </w:r>
            <w:r w:rsidR="00FD6633" w:rsidRPr="00FD6633">
              <w:rPr>
                <w:bCs/>
                <w:szCs w:val="18"/>
                <w:lang w:val="en-US"/>
              </w:rPr>
              <w:t xml:space="preserve"> beyond</w:t>
            </w:r>
            <w:r w:rsidR="00FD6633">
              <w:rPr>
                <w:bCs/>
                <w:szCs w:val="18"/>
                <w:lang w:val="en-US"/>
              </w:rPr>
              <w:t xml:space="preserve"> the a</w:t>
            </w:r>
            <w:r w:rsidR="00E14FCE" w:rsidRPr="00FD6633">
              <w:rPr>
                <w:bCs/>
                <w:szCs w:val="18"/>
                <w:lang w:val="en-US"/>
              </w:rPr>
              <w:t>nalysis of services trade policies and GRPs</w:t>
            </w:r>
          </w:p>
          <w:p w14:paraId="09A9C94B" w14:textId="77777777" w:rsidR="00A951D2" w:rsidRPr="00A951D2" w:rsidRDefault="00A951D2" w:rsidP="00A951D2">
            <w:pPr>
              <w:pStyle w:val="ListParagraph"/>
              <w:numPr>
                <w:ilvl w:val="1"/>
                <w:numId w:val="23"/>
              </w:numPr>
              <w:rPr>
                <w:bCs/>
                <w:szCs w:val="18"/>
                <w:lang w:val="en-US"/>
              </w:rPr>
            </w:pPr>
            <w:r w:rsidRPr="00A951D2">
              <w:rPr>
                <w:bCs/>
                <w:szCs w:val="18"/>
                <w:lang w:val="en-US"/>
              </w:rPr>
              <w:t>Competitiveness dashboard</w:t>
            </w:r>
          </w:p>
          <w:p w14:paraId="4B895F4F" w14:textId="4FF4BFF2" w:rsidR="00A951D2" w:rsidRPr="00A951D2" w:rsidRDefault="00A951D2" w:rsidP="00A951D2">
            <w:pPr>
              <w:pStyle w:val="ListParagraph"/>
              <w:numPr>
                <w:ilvl w:val="1"/>
                <w:numId w:val="23"/>
              </w:num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Export promotion strategies</w:t>
            </w:r>
          </w:p>
          <w:p w14:paraId="04A18D19" w14:textId="04C6471D" w:rsidR="00A951D2" w:rsidRPr="00AE5E70" w:rsidRDefault="00A951D2" w:rsidP="00A951D2">
            <w:pPr>
              <w:pStyle w:val="ListParagraph"/>
              <w:numPr>
                <w:ilvl w:val="1"/>
                <w:numId w:val="23"/>
              </w:num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Services trade statistics</w:t>
            </w:r>
          </w:p>
          <w:p w14:paraId="169C2675" w14:textId="5E4CF540" w:rsidR="00B401EC" w:rsidRPr="00B54807" w:rsidRDefault="00B401EC" w:rsidP="005D63B5">
            <w:pPr>
              <w:rPr>
                <w:b/>
                <w:szCs w:val="18"/>
                <w:lang w:val="en-US"/>
              </w:rPr>
            </w:pPr>
          </w:p>
        </w:tc>
      </w:tr>
      <w:tr w:rsidR="00B401EC" w:rsidRPr="00B54807" w14:paraId="1B569067" w14:textId="77777777">
        <w:tc>
          <w:tcPr>
            <w:tcW w:w="1555" w:type="dxa"/>
          </w:tcPr>
          <w:p w14:paraId="5BC31CBC" w14:textId="77777777" w:rsidR="00B401EC" w:rsidRPr="00B54807" w:rsidRDefault="00B401EC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>10h30-10h45</w:t>
            </w:r>
          </w:p>
        </w:tc>
        <w:tc>
          <w:tcPr>
            <w:tcW w:w="7461" w:type="dxa"/>
          </w:tcPr>
          <w:p w14:paraId="67324B76" w14:textId="77777777" w:rsidR="00B401EC" w:rsidRPr="00B54807" w:rsidRDefault="00B401EC">
            <w:pPr>
              <w:rPr>
                <w:bCs/>
                <w:i/>
                <w:iCs/>
                <w:szCs w:val="18"/>
              </w:rPr>
            </w:pPr>
            <w:r w:rsidRPr="00B54807">
              <w:rPr>
                <w:bCs/>
                <w:i/>
                <w:iCs/>
                <w:szCs w:val="18"/>
              </w:rPr>
              <w:t>Coffee break</w:t>
            </w:r>
          </w:p>
          <w:p w14:paraId="0F85CEAE" w14:textId="77777777" w:rsidR="00B401EC" w:rsidRPr="00B54807" w:rsidRDefault="00B401EC">
            <w:pPr>
              <w:rPr>
                <w:b/>
                <w:szCs w:val="18"/>
                <w:lang w:val="en-US"/>
              </w:rPr>
            </w:pPr>
          </w:p>
        </w:tc>
      </w:tr>
      <w:tr w:rsidR="00B401EC" w:rsidRPr="00B54807" w14:paraId="2B885941" w14:textId="77777777">
        <w:tc>
          <w:tcPr>
            <w:tcW w:w="1555" w:type="dxa"/>
          </w:tcPr>
          <w:p w14:paraId="1D5AF65E" w14:textId="44605032" w:rsidR="00B401EC" w:rsidRPr="00B54807" w:rsidRDefault="00B401EC" w:rsidP="005D63B5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10</w:t>
            </w:r>
            <w:r w:rsidRPr="00B54807">
              <w:rPr>
                <w:bCs/>
                <w:szCs w:val="18"/>
              </w:rPr>
              <w:t>h</w:t>
            </w:r>
            <w:r>
              <w:rPr>
                <w:bCs/>
                <w:szCs w:val="18"/>
              </w:rPr>
              <w:t>45</w:t>
            </w:r>
            <w:r w:rsidRPr="00B54807">
              <w:rPr>
                <w:bCs/>
                <w:szCs w:val="18"/>
              </w:rPr>
              <w:t>-1</w:t>
            </w:r>
            <w:r>
              <w:rPr>
                <w:bCs/>
                <w:szCs w:val="18"/>
              </w:rPr>
              <w:t>2</w:t>
            </w:r>
            <w:r w:rsidRPr="00B54807">
              <w:rPr>
                <w:bCs/>
                <w:szCs w:val="18"/>
              </w:rPr>
              <w:t>h00</w:t>
            </w:r>
          </w:p>
        </w:tc>
        <w:tc>
          <w:tcPr>
            <w:tcW w:w="7461" w:type="dxa"/>
          </w:tcPr>
          <w:p w14:paraId="496976BC" w14:textId="7946F9C6" w:rsidR="00B401EC" w:rsidRPr="00B54807" w:rsidRDefault="00B401EC" w:rsidP="00B401E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Next steps and technical assistance needs</w:t>
            </w:r>
          </w:p>
          <w:p w14:paraId="2AFE8198" w14:textId="07D4949F" w:rsidR="00B401EC" w:rsidRDefault="00B401EC" w:rsidP="00B401EC">
            <w:pPr>
              <w:rPr>
                <w:bCs/>
                <w:szCs w:val="18"/>
              </w:rPr>
            </w:pPr>
            <w:r w:rsidRPr="00B54807">
              <w:rPr>
                <w:bCs/>
                <w:szCs w:val="18"/>
              </w:rPr>
              <w:t xml:space="preserve">Feedback from stakeholders and discussions on next steps and additional technical assistance required by Guyana in partnership with the WTO Secretariat, the World Bank, </w:t>
            </w:r>
            <w:r w:rsidR="00B307E4">
              <w:rPr>
                <w:bCs/>
                <w:szCs w:val="18"/>
              </w:rPr>
              <w:t xml:space="preserve">IDB, </w:t>
            </w:r>
            <w:r w:rsidRPr="00B54807">
              <w:rPr>
                <w:bCs/>
                <w:szCs w:val="18"/>
              </w:rPr>
              <w:t xml:space="preserve">and other </w:t>
            </w:r>
            <w:r w:rsidR="0018139C">
              <w:rPr>
                <w:bCs/>
                <w:szCs w:val="18"/>
              </w:rPr>
              <w:t>o</w:t>
            </w:r>
            <w:r w:rsidRPr="00B54807">
              <w:rPr>
                <w:bCs/>
                <w:szCs w:val="18"/>
              </w:rPr>
              <w:t>rganizations.</w:t>
            </w:r>
          </w:p>
          <w:p w14:paraId="45AA2633" w14:textId="6DFCE602" w:rsidR="00B401EC" w:rsidRPr="00B54807" w:rsidRDefault="00B401EC" w:rsidP="00B401EC">
            <w:pPr>
              <w:rPr>
                <w:b/>
                <w:szCs w:val="18"/>
              </w:rPr>
            </w:pPr>
          </w:p>
        </w:tc>
      </w:tr>
      <w:tr w:rsidR="00B401EC" w:rsidRPr="00B54807" w14:paraId="51D2EC4F" w14:textId="77777777">
        <w:tc>
          <w:tcPr>
            <w:tcW w:w="1555" w:type="dxa"/>
          </w:tcPr>
          <w:p w14:paraId="12C148C2" w14:textId="24662C59" w:rsidR="00B401EC" w:rsidRDefault="00B401EC" w:rsidP="005D63B5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12h00-12h30</w:t>
            </w:r>
          </w:p>
        </w:tc>
        <w:tc>
          <w:tcPr>
            <w:tcW w:w="7461" w:type="dxa"/>
          </w:tcPr>
          <w:p w14:paraId="1C10F6A6" w14:textId="38D6B8DD" w:rsidR="00B401EC" w:rsidRPr="00B54807" w:rsidRDefault="00463271" w:rsidP="00B401E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Concluding remarks and closing of the Workshop</w:t>
            </w:r>
          </w:p>
        </w:tc>
      </w:tr>
    </w:tbl>
    <w:p w14:paraId="77E9A4C3" w14:textId="77777777" w:rsidR="00651877" w:rsidRPr="00B54807" w:rsidRDefault="00651877" w:rsidP="00F219FF">
      <w:pPr>
        <w:jc w:val="center"/>
        <w:rPr>
          <w:szCs w:val="18"/>
        </w:rPr>
      </w:pPr>
    </w:p>
    <w:p w14:paraId="575423C8" w14:textId="3477EDC6" w:rsidR="00F219FF" w:rsidRPr="00B54807" w:rsidRDefault="00F219FF" w:rsidP="00F219FF">
      <w:pPr>
        <w:jc w:val="center"/>
        <w:rPr>
          <w:szCs w:val="18"/>
        </w:rPr>
      </w:pPr>
      <w:r w:rsidRPr="00B54807">
        <w:rPr>
          <w:szCs w:val="18"/>
        </w:rPr>
        <w:t>_______________</w:t>
      </w:r>
    </w:p>
    <w:p w14:paraId="51EDA225" w14:textId="77777777" w:rsidR="00F219FF" w:rsidRPr="00B54807" w:rsidRDefault="00F219FF" w:rsidP="00F219FF">
      <w:pPr>
        <w:jc w:val="center"/>
        <w:rPr>
          <w:szCs w:val="18"/>
        </w:rPr>
      </w:pPr>
    </w:p>
    <w:p w14:paraId="51175A9E" w14:textId="08DDBCDA" w:rsidR="00F219FF" w:rsidRPr="00B54807" w:rsidRDefault="00F219FF" w:rsidP="00F219FF">
      <w:pPr>
        <w:jc w:val="left"/>
        <w:rPr>
          <w:szCs w:val="18"/>
        </w:rPr>
      </w:pPr>
    </w:p>
    <w:sectPr w:rsidR="00F219FF" w:rsidRPr="00B54807" w:rsidSect="002A1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891C" w14:textId="77777777" w:rsidR="00B77D42" w:rsidRDefault="00B77D42" w:rsidP="00ED54E0">
      <w:r>
        <w:separator/>
      </w:r>
    </w:p>
  </w:endnote>
  <w:endnote w:type="continuationSeparator" w:id="0">
    <w:p w14:paraId="76522441" w14:textId="77777777" w:rsidR="00B77D42" w:rsidRDefault="00B77D42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B39D" w14:textId="77777777" w:rsidR="00FB1D78" w:rsidRDefault="00FB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DF95" w14:textId="77777777" w:rsidR="00FB1D78" w:rsidRDefault="00FB1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8637" w14:textId="77777777" w:rsidR="00FB1D78" w:rsidRDefault="00FB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8BE0" w14:textId="77777777" w:rsidR="00B77D42" w:rsidRDefault="00B77D42" w:rsidP="00ED54E0">
      <w:r>
        <w:separator/>
      </w:r>
    </w:p>
  </w:footnote>
  <w:footnote w:type="continuationSeparator" w:id="0">
    <w:p w14:paraId="786038F7" w14:textId="77777777" w:rsidR="00B77D42" w:rsidRDefault="00B77D42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8E06" w14:textId="5867F454" w:rsidR="00FB1D78" w:rsidRDefault="00F219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520F2" wp14:editId="6A8334F4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900918310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91357" w14:textId="77777777" w:rsidR="00F219FF" w:rsidRDefault="00F219FF" w:rsidP="00F219FF">
                          <w:pPr>
                            <w:jc w:val="left"/>
                          </w:pPr>
                          <w:r w:rsidRPr="00F219F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520F2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textbox style="layout-flow:vertical;mso-fit-shape-to-text:t">
                <w:txbxContent>
                  <w:p w14:paraId="72F91357" w14:textId="77777777" w:rsidR="00F219FF" w:rsidRDefault="00F219FF" w:rsidP="00F219FF">
                    <w:pPr>
                      <w:jc w:val="left"/>
                    </w:pPr>
                    <w:r w:rsidRPr="00F219F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8E50" w14:textId="2752D6C1" w:rsidR="00A6787A" w:rsidRDefault="00F219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58095" wp14:editId="713FAE5F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027540791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749B1" w14:textId="77777777" w:rsidR="00F219FF" w:rsidRDefault="00F219FF" w:rsidP="00F219FF">
                          <w:pPr>
                            <w:jc w:val="left"/>
                          </w:pPr>
                          <w:r w:rsidRPr="00F219F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58095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textbox style="layout-flow:vertical;mso-fit-shape-to-text:t">
                <w:txbxContent>
                  <w:p w14:paraId="1C7749B1" w14:textId="77777777" w:rsidR="00F219FF" w:rsidRDefault="00F219FF" w:rsidP="00F219FF">
                    <w:pPr>
                      <w:jc w:val="left"/>
                    </w:pPr>
                    <w:r w:rsidRPr="00F219F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4551" w14:textId="3B26595F" w:rsidR="00FB1D78" w:rsidRDefault="00F219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F6AFA" wp14:editId="5DA7371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381318042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1563E" w14:textId="77777777" w:rsidR="00F219FF" w:rsidRDefault="00F219FF" w:rsidP="00F219FF">
                          <w:pPr>
                            <w:jc w:val="left"/>
                          </w:pPr>
                          <w:r w:rsidRPr="00F219F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F6AFA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textbox style="layout-flow:vertical;mso-fit-shape-to-text:t">
                <w:txbxContent>
                  <w:p w14:paraId="3311563E" w14:textId="77777777" w:rsidR="00F219FF" w:rsidRDefault="00F219FF" w:rsidP="00F219FF">
                    <w:pPr>
                      <w:jc w:val="left"/>
                    </w:pPr>
                    <w:r w:rsidRPr="00F219F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7528"/>
    <w:multiLevelType w:val="hybridMultilevel"/>
    <w:tmpl w:val="FE3C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4942"/>
    <w:multiLevelType w:val="multilevel"/>
    <w:tmpl w:val="53A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772F4"/>
    <w:multiLevelType w:val="hybridMultilevel"/>
    <w:tmpl w:val="7CDE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0BAC"/>
    <w:multiLevelType w:val="hybridMultilevel"/>
    <w:tmpl w:val="ED7A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64611"/>
    <w:multiLevelType w:val="hybridMultilevel"/>
    <w:tmpl w:val="D2C2F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CC52177C"/>
    <w:numStyleLink w:val="LegalHeadings"/>
  </w:abstractNum>
  <w:abstractNum w:abstractNumId="19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31603F"/>
    <w:multiLevelType w:val="hybridMultilevel"/>
    <w:tmpl w:val="E402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E7015"/>
    <w:multiLevelType w:val="hybridMultilevel"/>
    <w:tmpl w:val="B9DA9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0008A"/>
    <w:multiLevelType w:val="hybridMultilevel"/>
    <w:tmpl w:val="FE14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9"/>
  </w:num>
  <w:num w:numId="7" w16cid:durableId="1295865260">
    <w:abstractNumId w:val="18"/>
  </w:num>
  <w:num w:numId="8" w16cid:durableId="805586851">
    <w:abstractNumId w:val="17"/>
  </w:num>
  <w:num w:numId="9" w16cid:durableId="1389575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1"/>
  </w:num>
  <w:num w:numId="17" w16cid:durableId="984817311">
    <w:abstractNumId w:val="17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6266325">
    <w:abstractNumId w:val="22"/>
  </w:num>
  <w:num w:numId="20" w16cid:durableId="1326124124">
    <w:abstractNumId w:val="13"/>
  </w:num>
  <w:num w:numId="21" w16cid:durableId="312029687">
    <w:abstractNumId w:val="10"/>
  </w:num>
  <w:num w:numId="22" w16cid:durableId="452946880">
    <w:abstractNumId w:val="23"/>
  </w:num>
  <w:num w:numId="23" w16cid:durableId="1275014506">
    <w:abstractNumId w:val="21"/>
  </w:num>
  <w:num w:numId="24" w16cid:durableId="1956793493">
    <w:abstractNumId w:val="16"/>
  </w:num>
  <w:num w:numId="25" w16cid:durableId="1908228464">
    <w:abstractNumId w:val="15"/>
  </w:num>
  <w:num w:numId="26" w16cid:durableId="781219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8"/>
    <w:rsid w:val="00002452"/>
    <w:rsid w:val="000106E0"/>
    <w:rsid w:val="000111BB"/>
    <w:rsid w:val="00022C0F"/>
    <w:rsid w:val="000272F6"/>
    <w:rsid w:val="000337E2"/>
    <w:rsid w:val="00037AC4"/>
    <w:rsid w:val="000423BF"/>
    <w:rsid w:val="00073934"/>
    <w:rsid w:val="0007518B"/>
    <w:rsid w:val="000A4945"/>
    <w:rsid w:val="000B31E1"/>
    <w:rsid w:val="000D671E"/>
    <w:rsid w:val="000F1F2F"/>
    <w:rsid w:val="0011356B"/>
    <w:rsid w:val="0013337F"/>
    <w:rsid w:val="00145FDB"/>
    <w:rsid w:val="0018139C"/>
    <w:rsid w:val="00182A75"/>
    <w:rsid w:val="00182B84"/>
    <w:rsid w:val="001946F2"/>
    <w:rsid w:val="001A2AD5"/>
    <w:rsid w:val="001D0B41"/>
    <w:rsid w:val="001D0F5C"/>
    <w:rsid w:val="001E291F"/>
    <w:rsid w:val="00201A53"/>
    <w:rsid w:val="00233408"/>
    <w:rsid w:val="00237417"/>
    <w:rsid w:val="00245AB5"/>
    <w:rsid w:val="0024735F"/>
    <w:rsid w:val="0027067B"/>
    <w:rsid w:val="00270D28"/>
    <w:rsid w:val="00295029"/>
    <w:rsid w:val="002A15FB"/>
    <w:rsid w:val="002A1BB7"/>
    <w:rsid w:val="002A1E5E"/>
    <w:rsid w:val="002A6940"/>
    <w:rsid w:val="002E249B"/>
    <w:rsid w:val="00304385"/>
    <w:rsid w:val="00306B8C"/>
    <w:rsid w:val="00311BE2"/>
    <w:rsid w:val="00320249"/>
    <w:rsid w:val="003258D5"/>
    <w:rsid w:val="003572B4"/>
    <w:rsid w:val="003616BF"/>
    <w:rsid w:val="00366F8B"/>
    <w:rsid w:val="00371F2B"/>
    <w:rsid w:val="00383F10"/>
    <w:rsid w:val="00390BAC"/>
    <w:rsid w:val="003D732E"/>
    <w:rsid w:val="00454B43"/>
    <w:rsid w:val="004551EC"/>
    <w:rsid w:val="00456428"/>
    <w:rsid w:val="00462A8D"/>
    <w:rsid w:val="00463271"/>
    <w:rsid w:val="00467032"/>
    <w:rsid w:val="0046754A"/>
    <w:rsid w:val="004A31FF"/>
    <w:rsid w:val="004E5085"/>
    <w:rsid w:val="004F203A"/>
    <w:rsid w:val="005079FC"/>
    <w:rsid w:val="00512FF5"/>
    <w:rsid w:val="005207C7"/>
    <w:rsid w:val="00524A3D"/>
    <w:rsid w:val="005336B8"/>
    <w:rsid w:val="005917B1"/>
    <w:rsid w:val="005B04B9"/>
    <w:rsid w:val="005B5141"/>
    <w:rsid w:val="005B68C7"/>
    <w:rsid w:val="005B7054"/>
    <w:rsid w:val="005D0152"/>
    <w:rsid w:val="005D5981"/>
    <w:rsid w:val="005D63B5"/>
    <w:rsid w:val="005F30CB"/>
    <w:rsid w:val="00612644"/>
    <w:rsid w:val="00621254"/>
    <w:rsid w:val="0063474D"/>
    <w:rsid w:val="00645CD1"/>
    <w:rsid w:val="00650D93"/>
    <w:rsid w:val="00651877"/>
    <w:rsid w:val="00674CCD"/>
    <w:rsid w:val="00696997"/>
    <w:rsid w:val="006A18DC"/>
    <w:rsid w:val="006D6742"/>
    <w:rsid w:val="006E3654"/>
    <w:rsid w:val="006F5826"/>
    <w:rsid w:val="00700181"/>
    <w:rsid w:val="00703D9B"/>
    <w:rsid w:val="007141CF"/>
    <w:rsid w:val="00714519"/>
    <w:rsid w:val="00745146"/>
    <w:rsid w:val="0074635B"/>
    <w:rsid w:val="00754561"/>
    <w:rsid w:val="007577E3"/>
    <w:rsid w:val="00760DB3"/>
    <w:rsid w:val="00767204"/>
    <w:rsid w:val="00773DFB"/>
    <w:rsid w:val="0079332A"/>
    <w:rsid w:val="007C3936"/>
    <w:rsid w:val="007C79F0"/>
    <w:rsid w:val="007E6507"/>
    <w:rsid w:val="007F1BB0"/>
    <w:rsid w:val="007F2B8E"/>
    <w:rsid w:val="007F2DB0"/>
    <w:rsid w:val="00801CBB"/>
    <w:rsid w:val="00807247"/>
    <w:rsid w:val="00840C2B"/>
    <w:rsid w:val="00850889"/>
    <w:rsid w:val="008739FD"/>
    <w:rsid w:val="00880E1D"/>
    <w:rsid w:val="008A31FF"/>
    <w:rsid w:val="008A7BB6"/>
    <w:rsid w:val="008C42C8"/>
    <w:rsid w:val="008E372C"/>
    <w:rsid w:val="00920FD4"/>
    <w:rsid w:val="00944B94"/>
    <w:rsid w:val="00945EDD"/>
    <w:rsid w:val="00947C09"/>
    <w:rsid w:val="00996D34"/>
    <w:rsid w:val="009A6F54"/>
    <w:rsid w:val="009A7E67"/>
    <w:rsid w:val="009B0823"/>
    <w:rsid w:val="009C049B"/>
    <w:rsid w:val="00A01750"/>
    <w:rsid w:val="00A07CD7"/>
    <w:rsid w:val="00A37A3F"/>
    <w:rsid w:val="00A53DCE"/>
    <w:rsid w:val="00A55DA8"/>
    <w:rsid w:val="00A6057A"/>
    <w:rsid w:val="00A63124"/>
    <w:rsid w:val="00A644AF"/>
    <w:rsid w:val="00A6787A"/>
    <w:rsid w:val="00A74017"/>
    <w:rsid w:val="00A86136"/>
    <w:rsid w:val="00A951D2"/>
    <w:rsid w:val="00A97A1E"/>
    <w:rsid w:val="00AA332C"/>
    <w:rsid w:val="00AC24C7"/>
    <w:rsid w:val="00AC27F8"/>
    <w:rsid w:val="00AD4C72"/>
    <w:rsid w:val="00AE20ED"/>
    <w:rsid w:val="00AE2AEE"/>
    <w:rsid w:val="00AE5E70"/>
    <w:rsid w:val="00B1394B"/>
    <w:rsid w:val="00B230EC"/>
    <w:rsid w:val="00B23682"/>
    <w:rsid w:val="00B307E4"/>
    <w:rsid w:val="00B401EC"/>
    <w:rsid w:val="00B415B8"/>
    <w:rsid w:val="00B50DC4"/>
    <w:rsid w:val="00B54807"/>
    <w:rsid w:val="00B56EDC"/>
    <w:rsid w:val="00B67C16"/>
    <w:rsid w:val="00B77D42"/>
    <w:rsid w:val="00B81318"/>
    <w:rsid w:val="00B936A4"/>
    <w:rsid w:val="00BB1F84"/>
    <w:rsid w:val="00BE5468"/>
    <w:rsid w:val="00C11EAC"/>
    <w:rsid w:val="00C20EB5"/>
    <w:rsid w:val="00C305D7"/>
    <w:rsid w:val="00C30F2A"/>
    <w:rsid w:val="00C43456"/>
    <w:rsid w:val="00C65C0C"/>
    <w:rsid w:val="00C67738"/>
    <w:rsid w:val="00C808FC"/>
    <w:rsid w:val="00CC5DCA"/>
    <w:rsid w:val="00CD7D97"/>
    <w:rsid w:val="00CE3EE6"/>
    <w:rsid w:val="00CE4BA1"/>
    <w:rsid w:val="00D000C7"/>
    <w:rsid w:val="00D30A90"/>
    <w:rsid w:val="00D52A9D"/>
    <w:rsid w:val="00D55AAD"/>
    <w:rsid w:val="00D61264"/>
    <w:rsid w:val="00D747AE"/>
    <w:rsid w:val="00D9226C"/>
    <w:rsid w:val="00D95F9A"/>
    <w:rsid w:val="00DA20BD"/>
    <w:rsid w:val="00DA26BE"/>
    <w:rsid w:val="00DA2F4B"/>
    <w:rsid w:val="00DE50DB"/>
    <w:rsid w:val="00DF6AE1"/>
    <w:rsid w:val="00E14FCE"/>
    <w:rsid w:val="00E25D14"/>
    <w:rsid w:val="00E37D05"/>
    <w:rsid w:val="00E46FD5"/>
    <w:rsid w:val="00E544BB"/>
    <w:rsid w:val="00E56545"/>
    <w:rsid w:val="00E61F24"/>
    <w:rsid w:val="00E85004"/>
    <w:rsid w:val="00EA5D4F"/>
    <w:rsid w:val="00EB6C56"/>
    <w:rsid w:val="00EB6F21"/>
    <w:rsid w:val="00EC26B5"/>
    <w:rsid w:val="00ED54E0"/>
    <w:rsid w:val="00F01C13"/>
    <w:rsid w:val="00F219FF"/>
    <w:rsid w:val="00F2239F"/>
    <w:rsid w:val="00F32397"/>
    <w:rsid w:val="00F40595"/>
    <w:rsid w:val="00F6693E"/>
    <w:rsid w:val="00F91FC1"/>
    <w:rsid w:val="00F97B04"/>
    <w:rsid w:val="00FA0E8E"/>
    <w:rsid w:val="00FA499F"/>
    <w:rsid w:val="00FA5EBC"/>
    <w:rsid w:val="00FB1D78"/>
    <w:rsid w:val="00FB5408"/>
    <w:rsid w:val="00FB67FA"/>
    <w:rsid w:val="00FC779F"/>
    <w:rsid w:val="00FD224A"/>
    <w:rsid w:val="00FD6633"/>
    <w:rsid w:val="00FD6CF3"/>
    <w:rsid w:val="00FD79BF"/>
    <w:rsid w:val="00FE0DC7"/>
    <w:rsid w:val="00FE2FDD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4BCCB"/>
  <w15:chartTrackingRefBased/>
  <w15:docId w15:val="{3CF6A5BC-6E0B-4414-BA99-7D132C8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645CD1"/>
    <w:pPr>
      <w:spacing w:after="0" w:line="240" w:lineRule="auto"/>
    </w:pPr>
    <w:rPr>
      <w:rFonts w:ascii="Times New Roman" w:eastAsia="Times New Roman" w:hAnsi="Times New Roman" w:cs="Times New Roman"/>
      <w:color w:val="538135"/>
      <w:sz w:val="20"/>
      <w:szCs w:val="20"/>
      <w:lang w:eastAsia="en-GB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1">
    <w:name w:val="Grid Table 6 Colorful Accent 1"/>
    <w:basedOn w:val="TableNormal"/>
    <w:uiPriority w:val="51"/>
    <w:rsid w:val="00645C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6126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8c86c386-cf0c-498d-90f3-319a1ab8429f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25F0-67DA-4021-BDCE-CDBF36B115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7AC9120-DE9B-48EC-BB9E-E70080AB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Bertola, Elena</dc:creator>
  <cp:keywords/>
  <dc:description/>
  <cp:lastModifiedBy>Bertola, Elena</cp:lastModifiedBy>
  <cp:revision>6</cp:revision>
  <dcterms:created xsi:type="dcterms:W3CDTF">2026-05-11T12:19:00Z</dcterms:created>
  <dcterms:modified xsi:type="dcterms:W3CDTF">2026-05-12T09:39:00Z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8c86c386-cf0c-498d-90f3-319a1ab8429f</vt:lpwstr>
  </property>
  <property fmtid="{D5CDD505-2E9C-101B-9397-08002B2CF9AE}" pid="3" name="WTOCLASSIFICATION">
    <vt:lpwstr>INTERNAL</vt:lpwstr>
  </property>
</Properties>
</file>