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C2E9" w14:textId="77777777" w:rsidR="00AF572D" w:rsidRPr="002C2D5C" w:rsidRDefault="00AF572D" w:rsidP="00AF572D">
      <w:pPr>
        <w:rPr>
          <w:szCs w:val="22"/>
          <w:lang w:val="en-GB"/>
        </w:rPr>
      </w:pPr>
    </w:p>
    <w:p w14:paraId="7374442D" w14:textId="77777777" w:rsidR="00AF572D" w:rsidRPr="002C2D5C" w:rsidRDefault="00AF572D" w:rsidP="00AF572D">
      <w:pPr>
        <w:rPr>
          <w:szCs w:val="22"/>
          <w:lang w:val="en-GB"/>
        </w:rPr>
      </w:pPr>
    </w:p>
    <w:p w14:paraId="3324E32D" w14:textId="1BF5C5DF" w:rsidR="00AF572D" w:rsidRPr="002C2D5C" w:rsidRDefault="009D7B84" w:rsidP="00AF572D">
      <w:pPr>
        <w:jc w:val="center"/>
        <w:rPr>
          <w:rFonts w:ascii="Verdana" w:hAnsi="Verdana"/>
          <w:b/>
          <w:sz w:val="20"/>
          <w:lang w:val="en-GB"/>
        </w:rPr>
      </w:pPr>
      <w:r w:rsidRPr="002C2D5C">
        <w:rPr>
          <w:rFonts w:ascii="Verdana" w:hAnsi="Verdana"/>
          <w:b/>
          <w:sz w:val="20"/>
          <w:lang w:val="en-GB"/>
        </w:rPr>
        <w:t>WTO National Seminar on the General Agreement on Trade in Services</w:t>
      </w:r>
      <w:r w:rsidR="00E66C19" w:rsidRPr="002C2D5C">
        <w:rPr>
          <w:rFonts w:ascii="Verdana" w:hAnsi="Verdana"/>
          <w:b/>
          <w:sz w:val="20"/>
          <w:lang w:val="en-GB"/>
        </w:rPr>
        <w:t>, Services Domestic Regulation, and Investment Facilitation for Development</w:t>
      </w:r>
    </w:p>
    <w:p w14:paraId="78F4DEB6" w14:textId="77777777" w:rsidR="00E66C19" w:rsidRPr="002C2D5C" w:rsidRDefault="00E66C19" w:rsidP="00AF572D">
      <w:pPr>
        <w:jc w:val="center"/>
        <w:rPr>
          <w:rFonts w:ascii="Verdana" w:hAnsi="Verdana"/>
          <w:b/>
          <w:sz w:val="20"/>
          <w:lang w:val="en-GB"/>
        </w:rPr>
      </w:pPr>
    </w:p>
    <w:p w14:paraId="17195B19" w14:textId="3FCB652A" w:rsidR="00AF572D" w:rsidRPr="002C2D5C" w:rsidRDefault="00E66C19" w:rsidP="00AF572D">
      <w:pPr>
        <w:jc w:val="center"/>
        <w:rPr>
          <w:rFonts w:ascii="Verdana" w:hAnsi="Verdana"/>
          <w:b/>
          <w:sz w:val="20"/>
          <w:lang w:val="en-GB"/>
        </w:rPr>
      </w:pPr>
      <w:r w:rsidRPr="002C2D5C">
        <w:rPr>
          <w:rFonts w:ascii="Verdana" w:hAnsi="Verdana"/>
          <w:b/>
          <w:sz w:val="20"/>
          <w:lang w:val="en-GB"/>
        </w:rPr>
        <w:t xml:space="preserve">Guyana </w:t>
      </w:r>
    </w:p>
    <w:p w14:paraId="42C89CD5" w14:textId="77777777" w:rsidR="000B3766" w:rsidRPr="002C2D5C" w:rsidRDefault="000B3766" w:rsidP="00AF572D">
      <w:pPr>
        <w:jc w:val="center"/>
        <w:rPr>
          <w:rFonts w:ascii="Verdana" w:hAnsi="Verdana"/>
          <w:b/>
          <w:sz w:val="20"/>
          <w:lang w:val="en-GB"/>
        </w:rPr>
      </w:pPr>
    </w:p>
    <w:p w14:paraId="0C5EA38D" w14:textId="77777777" w:rsidR="00321F41" w:rsidRPr="002C2D5C" w:rsidRDefault="009D7B84" w:rsidP="00E151B5">
      <w:pPr>
        <w:rPr>
          <w:rFonts w:ascii="Verdana" w:hAnsi="Verdana"/>
          <w:b/>
          <w:sz w:val="20"/>
          <w:lang w:val="en-GB"/>
        </w:rPr>
      </w:pPr>
      <w:r w:rsidRPr="002C2D5C">
        <w:rPr>
          <w:rFonts w:ascii="Verdana" w:hAnsi="Verdana"/>
          <w:b/>
          <w:sz w:val="20"/>
          <w:lang w:val="en-GB"/>
        </w:rPr>
        <w:tab/>
      </w:r>
      <w:r w:rsidRPr="002C2D5C">
        <w:rPr>
          <w:rFonts w:ascii="Verdana" w:hAnsi="Verdana"/>
          <w:b/>
          <w:sz w:val="20"/>
          <w:lang w:val="en-GB"/>
        </w:rPr>
        <w:tab/>
      </w:r>
      <w:r w:rsidRPr="002C2D5C">
        <w:rPr>
          <w:rFonts w:ascii="Verdana" w:hAnsi="Verdana"/>
          <w:b/>
          <w:sz w:val="20"/>
          <w:lang w:val="en-GB"/>
        </w:rPr>
        <w:tab/>
      </w:r>
      <w:r w:rsidRPr="002C2D5C">
        <w:rPr>
          <w:rFonts w:ascii="Verdana" w:hAnsi="Verdana"/>
          <w:b/>
          <w:sz w:val="20"/>
          <w:lang w:val="en-GB"/>
        </w:rPr>
        <w:tab/>
      </w:r>
      <w:r w:rsidRPr="002C2D5C">
        <w:rPr>
          <w:rFonts w:ascii="Verdana" w:hAnsi="Verdana"/>
          <w:b/>
          <w:sz w:val="20"/>
          <w:lang w:val="en-GB"/>
        </w:rPr>
        <w:tab/>
      </w:r>
      <w:r w:rsidR="005A6D6F" w:rsidRPr="002C2D5C">
        <w:rPr>
          <w:rFonts w:ascii="Verdana" w:hAnsi="Verdana"/>
          <w:b/>
          <w:sz w:val="20"/>
          <w:lang w:val="en-GB"/>
        </w:rPr>
        <w:t xml:space="preserve">Draft </w:t>
      </w:r>
      <w:r w:rsidR="00995A9D" w:rsidRPr="002C2D5C">
        <w:rPr>
          <w:rFonts w:ascii="Verdana" w:hAnsi="Verdana"/>
          <w:b/>
          <w:sz w:val="20"/>
          <w:lang w:val="en-GB"/>
        </w:rPr>
        <w:t>Programme</w:t>
      </w:r>
      <w:r w:rsidR="00E151B5" w:rsidRPr="002C2D5C">
        <w:rPr>
          <w:rFonts w:ascii="Verdana" w:hAnsi="Verdana"/>
          <w:b/>
          <w:sz w:val="20"/>
          <w:lang w:val="en-GB"/>
        </w:rPr>
        <w:t xml:space="preserve"> </w:t>
      </w:r>
    </w:p>
    <w:p w14:paraId="2BBA18C8" w14:textId="77777777" w:rsidR="00321F41" w:rsidRPr="002C2D5C" w:rsidRDefault="00321F41" w:rsidP="00321F41">
      <w:pPr>
        <w:jc w:val="center"/>
        <w:rPr>
          <w:rFonts w:ascii="Verdana" w:hAnsi="Verdana"/>
          <w:b/>
          <w:sz w:val="20"/>
          <w:lang w:val="en-GB"/>
        </w:rPr>
      </w:pPr>
    </w:p>
    <w:p w14:paraId="0275A2CE" w14:textId="3A71BA7C" w:rsidR="000D7B15" w:rsidRPr="002C2D5C" w:rsidRDefault="00C12B77" w:rsidP="00321F41">
      <w:pPr>
        <w:jc w:val="center"/>
        <w:rPr>
          <w:rFonts w:ascii="Verdana" w:hAnsi="Verdana"/>
          <w:b/>
          <w:sz w:val="20"/>
          <w:lang w:val="en-GB"/>
        </w:rPr>
      </w:pPr>
      <w:r w:rsidRPr="002C2D5C">
        <w:rPr>
          <w:rFonts w:ascii="Verdana" w:hAnsi="Verdana"/>
          <w:b/>
          <w:sz w:val="20"/>
          <w:lang w:val="en-GB"/>
        </w:rPr>
        <w:t xml:space="preserve">Georgetown, </w:t>
      </w:r>
      <w:r w:rsidR="000D7B15" w:rsidRPr="002C2D5C">
        <w:rPr>
          <w:rFonts w:ascii="Verdana" w:hAnsi="Verdana"/>
          <w:b/>
          <w:sz w:val="20"/>
          <w:lang w:val="en-GB"/>
        </w:rPr>
        <w:t>9</w:t>
      </w:r>
      <w:r w:rsidR="00E151B5" w:rsidRPr="002C2D5C">
        <w:rPr>
          <w:rFonts w:ascii="Verdana" w:hAnsi="Verdana"/>
          <w:b/>
          <w:sz w:val="20"/>
          <w:lang w:val="en-GB"/>
        </w:rPr>
        <w:t>-12</w:t>
      </w:r>
      <w:r w:rsidR="000D7B15" w:rsidRPr="002C2D5C">
        <w:rPr>
          <w:rFonts w:ascii="Verdana" w:hAnsi="Verdana"/>
          <w:b/>
          <w:sz w:val="20"/>
          <w:lang w:val="en-GB"/>
        </w:rPr>
        <w:t xml:space="preserve"> December 2024</w:t>
      </w:r>
    </w:p>
    <w:p w14:paraId="0DB8695B" w14:textId="77777777" w:rsidR="003A4095" w:rsidRPr="002C2D5C" w:rsidRDefault="003A4095" w:rsidP="00AF572D">
      <w:pPr>
        <w:rPr>
          <w:rFonts w:ascii="Verdana" w:hAnsi="Verdana"/>
          <w:b/>
          <w:sz w:val="20"/>
          <w:u w:val="single"/>
          <w:lang w:val="en-GB"/>
        </w:rPr>
      </w:pPr>
    </w:p>
    <w:p w14:paraId="4F09C676" w14:textId="1E143D52" w:rsidR="00340662" w:rsidRPr="002C2D5C" w:rsidRDefault="00340662" w:rsidP="00AF572D">
      <w:pPr>
        <w:rPr>
          <w:rFonts w:ascii="Verdana" w:hAnsi="Verdana"/>
          <w:b/>
          <w:sz w:val="20"/>
          <w:u w:val="single"/>
          <w:lang w:val="en-GB"/>
        </w:rPr>
      </w:pPr>
    </w:p>
    <w:p w14:paraId="0497C580" w14:textId="5FD1BED5" w:rsidR="00B157E1" w:rsidRDefault="00B157E1" w:rsidP="00AF572D">
      <w:pPr>
        <w:rPr>
          <w:rFonts w:ascii="Verdana" w:hAnsi="Verdana"/>
          <w:bCs/>
          <w:sz w:val="20"/>
          <w:lang w:val="en-GB"/>
        </w:rPr>
      </w:pPr>
      <w:r w:rsidRPr="002C2D5C">
        <w:rPr>
          <w:rFonts w:ascii="Verdana" w:hAnsi="Verdana"/>
          <w:b/>
          <w:sz w:val="20"/>
          <w:highlight w:val="yellow"/>
          <w:u w:val="single"/>
          <w:lang w:val="en-GB"/>
        </w:rPr>
        <w:t>NOTE</w:t>
      </w:r>
      <w:r w:rsidRPr="002C2D5C">
        <w:rPr>
          <w:rFonts w:ascii="Verdana" w:hAnsi="Verdana"/>
          <w:bCs/>
          <w:sz w:val="20"/>
          <w:highlight w:val="yellow"/>
          <w:lang w:val="en-GB"/>
        </w:rPr>
        <w:t>:</w:t>
      </w:r>
      <w:r w:rsidRPr="002C2D5C">
        <w:rPr>
          <w:rFonts w:ascii="Verdana" w:hAnsi="Verdana"/>
          <w:bCs/>
          <w:sz w:val="20"/>
          <w:lang w:val="en-GB"/>
        </w:rPr>
        <w:t xml:space="preserve"> </w:t>
      </w:r>
      <w:r w:rsidR="009D6016" w:rsidRPr="002C2D5C">
        <w:rPr>
          <w:rFonts w:ascii="Verdana" w:hAnsi="Verdana"/>
          <w:bCs/>
          <w:sz w:val="20"/>
          <w:lang w:val="en-GB"/>
        </w:rPr>
        <w:t>T</w:t>
      </w:r>
      <w:r w:rsidR="00CB5BA0" w:rsidRPr="002C2D5C">
        <w:rPr>
          <w:rFonts w:ascii="Verdana" w:hAnsi="Verdana"/>
          <w:bCs/>
          <w:sz w:val="20"/>
          <w:lang w:val="en-GB"/>
        </w:rPr>
        <w:t xml:space="preserve">he program is </w:t>
      </w:r>
      <w:r w:rsidR="00B70CE3" w:rsidRPr="002C2D5C">
        <w:rPr>
          <w:rFonts w:ascii="Verdana" w:hAnsi="Verdana"/>
          <w:bCs/>
          <w:sz w:val="20"/>
          <w:lang w:val="en-GB"/>
        </w:rPr>
        <w:t>structured</w:t>
      </w:r>
      <w:r w:rsidR="00CB5BA0" w:rsidRPr="002C2D5C">
        <w:rPr>
          <w:rFonts w:ascii="Verdana" w:hAnsi="Verdana"/>
          <w:bCs/>
          <w:sz w:val="20"/>
          <w:lang w:val="en-GB"/>
        </w:rPr>
        <w:t xml:space="preserve"> </w:t>
      </w:r>
      <w:r w:rsidR="009D6016" w:rsidRPr="002C2D5C">
        <w:rPr>
          <w:rFonts w:ascii="Verdana" w:hAnsi="Verdana"/>
          <w:bCs/>
          <w:sz w:val="20"/>
          <w:lang w:val="en-GB"/>
        </w:rPr>
        <w:t>over four days to</w:t>
      </w:r>
      <w:r w:rsidR="00D658C9" w:rsidRPr="002C2D5C">
        <w:rPr>
          <w:rFonts w:ascii="Verdana" w:hAnsi="Verdana"/>
          <w:bCs/>
          <w:sz w:val="20"/>
          <w:lang w:val="en-GB"/>
        </w:rPr>
        <w:t xml:space="preserve"> cover the role of services and services trade for development,</w:t>
      </w:r>
      <w:r w:rsidR="009D6016" w:rsidRPr="002C2D5C">
        <w:rPr>
          <w:rFonts w:ascii="Verdana" w:hAnsi="Verdana"/>
          <w:bCs/>
          <w:sz w:val="20"/>
          <w:lang w:val="en-GB"/>
        </w:rPr>
        <w:t xml:space="preserve"> the </w:t>
      </w:r>
      <w:r w:rsidR="00835F43" w:rsidRPr="002C2D5C">
        <w:rPr>
          <w:rFonts w:ascii="Verdana" w:hAnsi="Verdana"/>
          <w:bCs/>
          <w:sz w:val="20"/>
          <w:lang w:val="en-GB"/>
        </w:rPr>
        <w:t xml:space="preserve">WTO </w:t>
      </w:r>
      <w:r w:rsidR="00D658C9" w:rsidRPr="002C2D5C">
        <w:rPr>
          <w:rFonts w:ascii="Verdana" w:hAnsi="Verdana"/>
          <w:bCs/>
          <w:sz w:val="20"/>
          <w:lang w:val="en-GB"/>
        </w:rPr>
        <w:t>G</w:t>
      </w:r>
      <w:r w:rsidR="00835F43" w:rsidRPr="002C2D5C">
        <w:rPr>
          <w:rFonts w:ascii="Verdana" w:hAnsi="Verdana"/>
          <w:bCs/>
          <w:sz w:val="20"/>
          <w:lang w:val="en-GB"/>
        </w:rPr>
        <w:t>eneral Agreement on Trade in Services (G</w:t>
      </w:r>
      <w:r w:rsidR="00D658C9" w:rsidRPr="002C2D5C">
        <w:rPr>
          <w:rFonts w:ascii="Verdana" w:hAnsi="Verdana"/>
          <w:bCs/>
          <w:sz w:val="20"/>
          <w:lang w:val="en-GB"/>
        </w:rPr>
        <w:t>ATS</w:t>
      </w:r>
      <w:r w:rsidR="00835F43" w:rsidRPr="002C2D5C">
        <w:rPr>
          <w:rFonts w:ascii="Verdana" w:hAnsi="Verdana"/>
          <w:bCs/>
          <w:sz w:val="20"/>
          <w:lang w:val="en-GB"/>
        </w:rPr>
        <w:t>)</w:t>
      </w:r>
      <w:r w:rsidR="00D658C9" w:rsidRPr="002C2D5C">
        <w:rPr>
          <w:rFonts w:ascii="Verdana" w:hAnsi="Verdana"/>
          <w:bCs/>
          <w:sz w:val="20"/>
          <w:lang w:val="en-GB"/>
        </w:rPr>
        <w:t xml:space="preserve">, its key obligations and </w:t>
      </w:r>
      <w:r w:rsidR="00334117">
        <w:rPr>
          <w:rFonts w:ascii="Verdana" w:hAnsi="Verdana"/>
          <w:bCs/>
          <w:sz w:val="20"/>
          <w:lang w:val="en-GB"/>
        </w:rPr>
        <w:t>S</w:t>
      </w:r>
      <w:r w:rsidR="00D658C9" w:rsidRPr="002C2D5C">
        <w:rPr>
          <w:rFonts w:ascii="Verdana" w:hAnsi="Verdana"/>
          <w:bCs/>
          <w:sz w:val="20"/>
          <w:lang w:val="en-GB"/>
        </w:rPr>
        <w:t>chedules</w:t>
      </w:r>
      <w:r w:rsidR="00B70CE3" w:rsidRPr="002C2D5C">
        <w:rPr>
          <w:rFonts w:ascii="Verdana" w:hAnsi="Verdana"/>
          <w:bCs/>
          <w:sz w:val="20"/>
          <w:lang w:val="en-GB"/>
        </w:rPr>
        <w:t xml:space="preserve"> of </w:t>
      </w:r>
      <w:r w:rsidR="00334117">
        <w:rPr>
          <w:rFonts w:ascii="Verdana" w:hAnsi="Verdana"/>
          <w:bCs/>
          <w:sz w:val="20"/>
          <w:lang w:val="en-GB"/>
        </w:rPr>
        <w:t xml:space="preserve">specific </w:t>
      </w:r>
      <w:r w:rsidR="00B70CE3" w:rsidRPr="002C2D5C">
        <w:rPr>
          <w:rFonts w:ascii="Verdana" w:hAnsi="Verdana"/>
          <w:bCs/>
          <w:sz w:val="20"/>
          <w:lang w:val="en-GB"/>
        </w:rPr>
        <w:t>commitments</w:t>
      </w:r>
      <w:r w:rsidR="00D658C9" w:rsidRPr="002C2D5C">
        <w:rPr>
          <w:rFonts w:ascii="Verdana" w:hAnsi="Verdana"/>
          <w:bCs/>
          <w:sz w:val="20"/>
          <w:lang w:val="en-GB"/>
        </w:rPr>
        <w:t xml:space="preserve">, as well as Services Domestic Regulation, and Investment Facilitation for Development. </w:t>
      </w:r>
      <w:r w:rsidR="00B70CE3" w:rsidRPr="002C2D5C">
        <w:rPr>
          <w:rFonts w:ascii="Verdana" w:hAnsi="Verdana"/>
          <w:bCs/>
          <w:sz w:val="20"/>
          <w:lang w:val="en-GB"/>
        </w:rPr>
        <w:t>T</w:t>
      </w:r>
      <w:r w:rsidR="009D1F5B" w:rsidRPr="002C2D5C">
        <w:rPr>
          <w:rFonts w:ascii="Verdana" w:hAnsi="Verdana"/>
          <w:bCs/>
          <w:sz w:val="20"/>
          <w:lang w:val="en-GB"/>
        </w:rPr>
        <w:t xml:space="preserve">ime has </w:t>
      </w:r>
      <w:r w:rsidR="00B70CE3" w:rsidRPr="002C2D5C">
        <w:rPr>
          <w:rFonts w:ascii="Verdana" w:hAnsi="Verdana"/>
          <w:bCs/>
          <w:sz w:val="20"/>
          <w:lang w:val="en-GB"/>
        </w:rPr>
        <w:t xml:space="preserve">also </w:t>
      </w:r>
      <w:r w:rsidR="009D1F5B" w:rsidRPr="002C2D5C">
        <w:rPr>
          <w:rFonts w:ascii="Verdana" w:hAnsi="Verdana"/>
          <w:bCs/>
          <w:sz w:val="20"/>
          <w:lang w:val="en-GB"/>
        </w:rPr>
        <w:t xml:space="preserve">been allocated for </w:t>
      </w:r>
      <w:r w:rsidR="00B70CE3" w:rsidRPr="002C2D5C">
        <w:rPr>
          <w:rFonts w:ascii="Verdana" w:hAnsi="Verdana"/>
          <w:bCs/>
          <w:sz w:val="20"/>
          <w:lang w:val="en-GB"/>
        </w:rPr>
        <w:t>presentations by representatives from Guyana</w:t>
      </w:r>
      <w:r w:rsidR="002C2D5C" w:rsidRPr="002C2D5C">
        <w:rPr>
          <w:rFonts w:ascii="Verdana" w:hAnsi="Verdana"/>
          <w:bCs/>
          <w:sz w:val="20"/>
          <w:lang w:val="en-GB"/>
        </w:rPr>
        <w:t>,</w:t>
      </w:r>
      <w:r w:rsidR="00B70CE3" w:rsidRPr="002C2D5C">
        <w:rPr>
          <w:rFonts w:ascii="Verdana" w:hAnsi="Verdana"/>
          <w:bCs/>
          <w:sz w:val="20"/>
          <w:lang w:val="en-GB"/>
        </w:rPr>
        <w:t xml:space="preserve"> </w:t>
      </w:r>
      <w:r w:rsidR="002C2D5C" w:rsidRPr="002C2D5C">
        <w:rPr>
          <w:rFonts w:ascii="Verdana" w:hAnsi="Verdana"/>
          <w:bCs/>
          <w:sz w:val="20"/>
          <w:lang w:val="en-GB"/>
        </w:rPr>
        <w:t xml:space="preserve">followed by discussions, </w:t>
      </w:r>
      <w:r w:rsidR="00B70CE3" w:rsidRPr="002C2D5C">
        <w:rPr>
          <w:rFonts w:ascii="Verdana" w:hAnsi="Verdana"/>
          <w:bCs/>
          <w:sz w:val="20"/>
          <w:lang w:val="en-GB"/>
        </w:rPr>
        <w:t xml:space="preserve">as well as </w:t>
      </w:r>
      <w:r w:rsidR="009D1F5B" w:rsidRPr="002C2D5C">
        <w:rPr>
          <w:rFonts w:ascii="Verdana" w:hAnsi="Verdana"/>
          <w:bCs/>
          <w:sz w:val="20"/>
          <w:lang w:val="en-GB"/>
        </w:rPr>
        <w:t>practical exercises and case studies</w:t>
      </w:r>
      <w:r w:rsidR="002C2D5C" w:rsidRPr="002C2D5C">
        <w:rPr>
          <w:rFonts w:ascii="Verdana" w:hAnsi="Verdana"/>
          <w:bCs/>
          <w:sz w:val="20"/>
          <w:lang w:val="en-GB"/>
        </w:rPr>
        <w:t xml:space="preserve"> where </w:t>
      </w:r>
      <w:r w:rsidR="00E443B2">
        <w:rPr>
          <w:rFonts w:ascii="Verdana" w:hAnsi="Verdana"/>
          <w:bCs/>
          <w:sz w:val="20"/>
          <w:lang w:val="en-GB"/>
        </w:rPr>
        <w:t>applicable</w:t>
      </w:r>
      <w:r w:rsidR="009D1F5B" w:rsidRPr="002C2D5C">
        <w:rPr>
          <w:rFonts w:ascii="Verdana" w:hAnsi="Verdana"/>
          <w:bCs/>
          <w:sz w:val="20"/>
          <w:lang w:val="en-GB"/>
        </w:rPr>
        <w:t xml:space="preserve">. </w:t>
      </w:r>
      <w:r w:rsidR="00665675" w:rsidRPr="002C2D5C">
        <w:rPr>
          <w:rFonts w:ascii="Verdana" w:hAnsi="Verdana"/>
          <w:bCs/>
          <w:sz w:val="20"/>
          <w:lang w:val="en-GB"/>
        </w:rPr>
        <w:t>The program can be adapted to reflect</w:t>
      </w:r>
      <w:r w:rsidR="009D1F5B" w:rsidRPr="002C2D5C">
        <w:rPr>
          <w:rFonts w:ascii="Verdana" w:hAnsi="Verdana"/>
          <w:bCs/>
          <w:sz w:val="20"/>
          <w:lang w:val="en-GB"/>
        </w:rPr>
        <w:t xml:space="preserve"> Guyana's priorities and interests</w:t>
      </w:r>
      <w:r w:rsidR="00665675" w:rsidRPr="002C2D5C">
        <w:rPr>
          <w:rFonts w:ascii="Verdana" w:hAnsi="Verdana"/>
          <w:bCs/>
          <w:sz w:val="20"/>
          <w:lang w:val="en-GB"/>
        </w:rPr>
        <w:t>.</w:t>
      </w:r>
    </w:p>
    <w:p w14:paraId="1A95F320" w14:textId="77777777" w:rsidR="00952597" w:rsidRDefault="00952597" w:rsidP="00AF572D">
      <w:pPr>
        <w:rPr>
          <w:rFonts w:ascii="Verdana" w:hAnsi="Verdana"/>
          <w:bCs/>
          <w:sz w:val="20"/>
          <w:lang w:val="en-GB"/>
        </w:rPr>
      </w:pPr>
    </w:p>
    <w:p w14:paraId="6EE0B1A5" w14:textId="1FF6FF35" w:rsidR="00952597" w:rsidRDefault="00952597" w:rsidP="00AF572D">
      <w:pPr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 xml:space="preserve">OBJECTIVES: </w:t>
      </w:r>
    </w:p>
    <w:p w14:paraId="0E06B4B0" w14:textId="77777777" w:rsidR="00AC6F51" w:rsidRDefault="00AC6F51" w:rsidP="00AF572D">
      <w:pPr>
        <w:rPr>
          <w:rFonts w:ascii="Verdana" w:hAnsi="Verdana"/>
          <w:bCs/>
          <w:sz w:val="20"/>
          <w:lang w:val="en-GB"/>
        </w:rPr>
      </w:pPr>
    </w:p>
    <w:p w14:paraId="1655CA22" w14:textId="212EA6FA" w:rsidR="00582FAD" w:rsidRDefault="00582FAD" w:rsidP="00582FAD">
      <w:pPr>
        <w:pStyle w:val="ListParagraph"/>
        <w:numPr>
          <w:ilvl w:val="0"/>
          <w:numId w:val="24"/>
        </w:numPr>
        <w:rPr>
          <w:bCs/>
          <w:sz w:val="20"/>
        </w:rPr>
      </w:pPr>
      <w:r w:rsidRPr="00AC6F51">
        <w:rPr>
          <w:bCs/>
          <w:sz w:val="20"/>
        </w:rPr>
        <w:t xml:space="preserve">At the end of the activity, participants will have deepened their understanding of </w:t>
      </w:r>
      <w:r>
        <w:rPr>
          <w:bCs/>
          <w:sz w:val="20"/>
        </w:rPr>
        <w:t xml:space="preserve">key features of </w:t>
      </w:r>
      <w:r w:rsidRPr="00AC6F51">
        <w:rPr>
          <w:bCs/>
          <w:sz w:val="20"/>
        </w:rPr>
        <w:t>the GATS</w:t>
      </w:r>
      <w:r>
        <w:rPr>
          <w:bCs/>
          <w:sz w:val="20"/>
        </w:rPr>
        <w:t xml:space="preserve"> and trade in services</w:t>
      </w:r>
      <w:r w:rsidRPr="00AC6F51">
        <w:rPr>
          <w:bCs/>
          <w:sz w:val="20"/>
        </w:rPr>
        <w:t xml:space="preserve">, </w:t>
      </w:r>
      <w:r>
        <w:rPr>
          <w:bCs/>
          <w:sz w:val="20"/>
        </w:rPr>
        <w:t xml:space="preserve">including various services policies issues in different sectors. </w:t>
      </w:r>
    </w:p>
    <w:p w14:paraId="74383671" w14:textId="77777777" w:rsidR="00582FAD" w:rsidRDefault="00582FAD" w:rsidP="00582FAD">
      <w:pPr>
        <w:pStyle w:val="ListParagraph"/>
        <w:rPr>
          <w:bCs/>
          <w:sz w:val="20"/>
        </w:rPr>
      </w:pPr>
    </w:p>
    <w:p w14:paraId="2B8D80D1" w14:textId="77777777" w:rsidR="00582FAD" w:rsidRDefault="00582FAD" w:rsidP="00582FAD">
      <w:pPr>
        <w:pStyle w:val="ListParagraph"/>
        <w:numPr>
          <w:ilvl w:val="0"/>
          <w:numId w:val="24"/>
        </w:numPr>
        <w:rPr>
          <w:bCs/>
          <w:sz w:val="20"/>
        </w:rPr>
      </w:pPr>
      <w:r>
        <w:rPr>
          <w:bCs/>
          <w:sz w:val="20"/>
        </w:rPr>
        <w:t xml:space="preserve">At the end of the activity, participants will have familiarized themselves with the new Disciplines on Services Domestic Regulation (SDR), including with a view to supporting </w:t>
      </w:r>
      <w:r w:rsidRPr="0028617A">
        <w:rPr>
          <w:bCs/>
          <w:sz w:val="20"/>
        </w:rPr>
        <w:t xml:space="preserve">the </w:t>
      </w:r>
      <w:r>
        <w:rPr>
          <w:bCs/>
          <w:sz w:val="20"/>
        </w:rPr>
        <w:t xml:space="preserve">relevant </w:t>
      </w:r>
      <w:r w:rsidRPr="0028617A">
        <w:rPr>
          <w:bCs/>
          <w:sz w:val="20"/>
        </w:rPr>
        <w:t>appraisal of Guyana’s</w:t>
      </w:r>
      <w:r>
        <w:rPr>
          <w:bCs/>
          <w:sz w:val="20"/>
        </w:rPr>
        <w:t xml:space="preserve"> regulatory frameworks and discussing potential economic effects of implementation of the SDR Disciplines</w:t>
      </w:r>
      <w:r w:rsidRPr="0028617A">
        <w:rPr>
          <w:bCs/>
          <w:sz w:val="20"/>
        </w:rPr>
        <w:t xml:space="preserve">.  </w:t>
      </w:r>
    </w:p>
    <w:p w14:paraId="6E939DD3" w14:textId="77777777" w:rsidR="00582FAD" w:rsidRDefault="00582FAD" w:rsidP="00582FAD">
      <w:pPr>
        <w:pStyle w:val="ListParagraph"/>
        <w:rPr>
          <w:bCs/>
          <w:sz w:val="20"/>
        </w:rPr>
      </w:pPr>
    </w:p>
    <w:p w14:paraId="301AA7EE" w14:textId="77777777" w:rsidR="00582FAD" w:rsidRPr="002C2D5C" w:rsidRDefault="00582FAD" w:rsidP="00582FAD">
      <w:pPr>
        <w:pStyle w:val="ListParagraph"/>
        <w:numPr>
          <w:ilvl w:val="0"/>
          <w:numId w:val="19"/>
        </w:numPr>
        <w:tabs>
          <w:tab w:val="left" w:pos="2700"/>
          <w:tab w:val="left" w:pos="3600"/>
        </w:tabs>
        <w:spacing w:after="60"/>
        <w:ind w:left="714" w:hanging="357"/>
        <w:contextualSpacing w:val="0"/>
        <w:rPr>
          <w:sz w:val="20"/>
        </w:rPr>
      </w:pPr>
      <w:r>
        <w:rPr>
          <w:bCs/>
          <w:sz w:val="20"/>
        </w:rPr>
        <w:t xml:space="preserve">At the end of the activity, participants will have familiarized themselves with the Investment Facilitation for Development (IFD) Agreement, including the </w:t>
      </w:r>
      <w:r>
        <w:rPr>
          <w:sz w:val="20"/>
        </w:rPr>
        <w:t>s</w:t>
      </w:r>
      <w:r w:rsidRPr="002C2D5C">
        <w:rPr>
          <w:sz w:val="20"/>
        </w:rPr>
        <w:t>pecial and differential treatment</w:t>
      </w:r>
      <w:r>
        <w:rPr>
          <w:sz w:val="20"/>
        </w:rPr>
        <w:t xml:space="preserve"> provisions</w:t>
      </w:r>
      <w:r w:rsidRPr="002C2D5C">
        <w:rPr>
          <w:sz w:val="20"/>
        </w:rPr>
        <w:t xml:space="preserve"> </w:t>
      </w:r>
      <w:r>
        <w:rPr>
          <w:sz w:val="20"/>
        </w:rPr>
        <w:t xml:space="preserve">for developing country Members and the possibility to undertake a </w:t>
      </w:r>
      <w:r w:rsidRPr="002C2D5C">
        <w:rPr>
          <w:sz w:val="20"/>
        </w:rPr>
        <w:t>IFD needs assessments</w:t>
      </w:r>
      <w:r>
        <w:rPr>
          <w:sz w:val="20"/>
        </w:rPr>
        <w:t xml:space="preserve">. </w:t>
      </w:r>
    </w:p>
    <w:p w14:paraId="3A5932C1" w14:textId="09A92E1B" w:rsidR="00952597" w:rsidRPr="00AE42DD" w:rsidRDefault="00952597" w:rsidP="00582FAD">
      <w:pPr>
        <w:pStyle w:val="ListParagraph"/>
        <w:numPr>
          <w:ilvl w:val="0"/>
          <w:numId w:val="24"/>
        </w:numPr>
        <w:rPr>
          <w:bCs/>
          <w:sz w:val="20"/>
        </w:rPr>
      </w:pPr>
    </w:p>
    <w:p w14:paraId="696B3BEA" w14:textId="77777777" w:rsidR="00665675" w:rsidRPr="002C2D5C" w:rsidRDefault="00665675" w:rsidP="00AF572D">
      <w:pPr>
        <w:rPr>
          <w:rFonts w:ascii="Verdana" w:hAnsi="Verdana"/>
          <w:bCs/>
          <w:sz w:val="20"/>
          <w:lang w:val="en-GB"/>
        </w:rPr>
      </w:pPr>
    </w:p>
    <w:p w14:paraId="76AE8532" w14:textId="4DE2B485" w:rsidR="00AF572D" w:rsidRPr="002C2D5C" w:rsidRDefault="00334117" w:rsidP="00AF572D">
      <w:pPr>
        <w:rPr>
          <w:rFonts w:ascii="Verdana" w:hAnsi="Verdana"/>
          <w:b/>
          <w:sz w:val="20"/>
          <w:u w:val="single"/>
          <w:lang w:val="en-GB"/>
        </w:rPr>
      </w:pPr>
      <w:r>
        <w:rPr>
          <w:rFonts w:ascii="Verdana" w:hAnsi="Verdana"/>
          <w:b/>
          <w:sz w:val="20"/>
          <w:u w:val="single"/>
          <w:lang w:val="en-GB"/>
        </w:rPr>
        <w:t>Monday, 9 December</w:t>
      </w:r>
    </w:p>
    <w:p w14:paraId="2038D7C3" w14:textId="77777777" w:rsidR="000B3766" w:rsidRPr="002C2D5C" w:rsidRDefault="000B3766" w:rsidP="00AF572D">
      <w:pPr>
        <w:rPr>
          <w:rFonts w:ascii="Verdana" w:hAnsi="Verdana"/>
          <w:b/>
          <w:sz w:val="20"/>
          <w:lang w:val="en-GB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83"/>
        <w:gridCol w:w="6443"/>
      </w:tblGrid>
      <w:tr w:rsidR="00995A9D" w:rsidRPr="002C2D5C" w14:paraId="5265F983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70CE2" w14:textId="6CEB6C69" w:rsidR="00995A9D" w:rsidRPr="002C2D5C" w:rsidRDefault="00995A9D" w:rsidP="00C55F5E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 xml:space="preserve">8h30 </w:t>
            </w:r>
            <w:r w:rsidR="0025368A" w:rsidRPr="002C2D5C">
              <w:rPr>
                <w:rFonts w:ascii="Verdana" w:hAnsi="Verdana"/>
                <w:sz w:val="20"/>
                <w:lang w:val="en-GB"/>
              </w:rPr>
              <w:t>– 9</w:t>
            </w:r>
            <w:r w:rsidRPr="002C2D5C">
              <w:rPr>
                <w:rFonts w:ascii="Verdana" w:hAnsi="Verdana"/>
                <w:sz w:val="20"/>
                <w:lang w:val="en-GB"/>
              </w:rPr>
              <w:t>h00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01078" w14:textId="77777777" w:rsidR="00995A9D" w:rsidRPr="002C2D5C" w:rsidRDefault="00995A9D" w:rsidP="00C55F5E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sz w:val="20"/>
                <w:lang w:val="en-GB"/>
              </w:rPr>
              <w:t>Registration</w:t>
            </w:r>
          </w:p>
          <w:p w14:paraId="5F762493" w14:textId="462C442B" w:rsidR="0025368A" w:rsidRPr="002C2D5C" w:rsidRDefault="0025368A" w:rsidP="00C55F5E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995A9D" w:rsidRPr="00952597" w14:paraId="6127E776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EFF2" w14:textId="77961A9E" w:rsidR="00995A9D" w:rsidRPr="002C2D5C" w:rsidRDefault="00995A9D" w:rsidP="00C55F5E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 xml:space="preserve">9h00 </w:t>
            </w:r>
            <w:r w:rsidR="0025368A" w:rsidRPr="002C2D5C">
              <w:rPr>
                <w:rFonts w:ascii="Verdana" w:hAnsi="Verdana"/>
                <w:sz w:val="20"/>
                <w:lang w:val="en-GB"/>
              </w:rPr>
              <w:t>–</w:t>
            </w:r>
            <w:r w:rsidRPr="002C2D5C">
              <w:rPr>
                <w:rFonts w:ascii="Verdana" w:hAnsi="Verdana"/>
                <w:sz w:val="20"/>
                <w:lang w:val="en-GB"/>
              </w:rPr>
              <w:t xml:space="preserve"> 9h30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9EE5" w14:textId="77777777" w:rsidR="00995A9D" w:rsidRPr="002C2D5C" w:rsidRDefault="0025368A" w:rsidP="00835F43">
            <w:pPr>
              <w:spacing w:after="120"/>
              <w:rPr>
                <w:rFonts w:ascii="Verdana" w:hAnsi="Verdana"/>
                <w:b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sz w:val="20"/>
                <w:lang w:val="en-GB"/>
              </w:rPr>
              <w:t>Opening Session</w:t>
            </w:r>
          </w:p>
          <w:p w14:paraId="2D228D06" w14:textId="645A21B2" w:rsidR="0025368A" w:rsidRPr="002C2D5C" w:rsidRDefault="0025368A" w:rsidP="00835F43">
            <w:pPr>
              <w:pStyle w:val="ListParagraph"/>
              <w:numPr>
                <w:ilvl w:val="0"/>
                <w:numId w:val="22"/>
              </w:numPr>
              <w:spacing w:after="120"/>
              <w:rPr>
                <w:sz w:val="20"/>
              </w:rPr>
            </w:pPr>
            <w:r w:rsidRPr="002C2D5C">
              <w:rPr>
                <w:sz w:val="20"/>
              </w:rPr>
              <w:t xml:space="preserve">Welcome and </w:t>
            </w:r>
            <w:r w:rsidR="003B30C5" w:rsidRPr="002C2D5C">
              <w:rPr>
                <w:sz w:val="20"/>
              </w:rPr>
              <w:t>o</w:t>
            </w:r>
            <w:r w:rsidRPr="002C2D5C">
              <w:rPr>
                <w:sz w:val="20"/>
              </w:rPr>
              <w:t xml:space="preserve">pening </w:t>
            </w:r>
            <w:r w:rsidR="003B30C5" w:rsidRPr="002C2D5C">
              <w:rPr>
                <w:sz w:val="20"/>
              </w:rPr>
              <w:t>r</w:t>
            </w:r>
            <w:r w:rsidRPr="002C2D5C">
              <w:rPr>
                <w:sz w:val="20"/>
              </w:rPr>
              <w:t>emarks</w:t>
            </w:r>
            <w:r w:rsidR="00BC6F4A" w:rsidRPr="002C2D5C">
              <w:rPr>
                <w:sz w:val="20"/>
              </w:rPr>
              <w:t xml:space="preserve"> by Guyana</w:t>
            </w:r>
            <w:r w:rsidR="00C12B77" w:rsidRPr="002C2D5C">
              <w:rPr>
                <w:sz w:val="20"/>
              </w:rPr>
              <w:t xml:space="preserve"> </w:t>
            </w:r>
            <w:r w:rsidR="00835F43" w:rsidRPr="002C2D5C">
              <w:rPr>
                <w:i/>
                <w:iCs/>
                <w:sz w:val="20"/>
              </w:rPr>
              <w:t xml:space="preserve">(Name to be </w:t>
            </w:r>
            <w:r w:rsidR="002C2D5C" w:rsidRPr="002C2D5C">
              <w:rPr>
                <w:i/>
                <w:iCs/>
                <w:sz w:val="20"/>
              </w:rPr>
              <w:t>confirmed</w:t>
            </w:r>
            <w:r w:rsidR="00835F43" w:rsidRPr="002C2D5C">
              <w:rPr>
                <w:i/>
                <w:iCs/>
                <w:sz w:val="20"/>
              </w:rPr>
              <w:t xml:space="preserve"> by Guyana)</w:t>
            </w:r>
            <w:r w:rsidR="00BC6F4A" w:rsidRPr="002C2D5C">
              <w:rPr>
                <w:i/>
                <w:iCs/>
                <w:sz w:val="20"/>
              </w:rPr>
              <w:t xml:space="preserve"> </w:t>
            </w:r>
          </w:p>
          <w:p w14:paraId="3A2823B4" w14:textId="4CA4FAB5" w:rsidR="0025368A" w:rsidRPr="002C2D5C" w:rsidRDefault="0025368A" w:rsidP="00835F43">
            <w:pPr>
              <w:pStyle w:val="ListParagraph"/>
              <w:numPr>
                <w:ilvl w:val="0"/>
                <w:numId w:val="22"/>
              </w:numPr>
              <w:spacing w:after="120"/>
              <w:jc w:val="left"/>
              <w:rPr>
                <w:sz w:val="20"/>
              </w:rPr>
            </w:pPr>
            <w:r w:rsidRPr="002C2D5C">
              <w:rPr>
                <w:sz w:val="20"/>
              </w:rPr>
              <w:t xml:space="preserve">General </w:t>
            </w:r>
            <w:r w:rsidR="003B30C5" w:rsidRPr="002C2D5C">
              <w:rPr>
                <w:sz w:val="20"/>
              </w:rPr>
              <w:t>i</w:t>
            </w:r>
            <w:r w:rsidRPr="002C2D5C">
              <w:rPr>
                <w:sz w:val="20"/>
              </w:rPr>
              <w:t xml:space="preserve">ntroduction and </w:t>
            </w:r>
            <w:r w:rsidR="003B30C5" w:rsidRPr="002C2D5C">
              <w:rPr>
                <w:sz w:val="20"/>
              </w:rPr>
              <w:t>o</w:t>
            </w:r>
            <w:r w:rsidRPr="002C2D5C">
              <w:rPr>
                <w:sz w:val="20"/>
              </w:rPr>
              <w:t xml:space="preserve">bjectives of the </w:t>
            </w:r>
            <w:r w:rsidR="003B30C5" w:rsidRPr="002C2D5C">
              <w:rPr>
                <w:sz w:val="20"/>
              </w:rPr>
              <w:t>workshop</w:t>
            </w:r>
            <w:r w:rsidR="00BC6F4A" w:rsidRPr="002C2D5C">
              <w:rPr>
                <w:sz w:val="20"/>
              </w:rPr>
              <w:t xml:space="preserve"> by WTO Secretariat</w:t>
            </w:r>
          </w:p>
          <w:p w14:paraId="209DCF56" w14:textId="53C4A62E" w:rsidR="0025368A" w:rsidRPr="002C2D5C" w:rsidRDefault="0025368A">
            <w:pPr>
              <w:tabs>
                <w:tab w:val="clear" w:pos="720"/>
              </w:tabs>
              <w:jc w:val="left"/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25368A" w:rsidRPr="00952597" w14:paraId="2869E579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70824" w14:textId="75E9F69C" w:rsidR="0025368A" w:rsidRPr="002C2D5C" w:rsidRDefault="00294FD2" w:rsidP="00C55F5E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>09</w:t>
            </w:r>
            <w:r w:rsidR="0025368A" w:rsidRPr="002C2D5C">
              <w:rPr>
                <w:rFonts w:ascii="Verdana" w:hAnsi="Verdana"/>
                <w:sz w:val="20"/>
                <w:lang w:val="en-GB"/>
              </w:rPr>
              <w:t>h</w:t>
            </w:r>
            <w:r w:rsidRPr="002C2D5C">
              <w:rPr>
                <w:rFonts w:ascii="Verdana" w:hAnsi="Verdana"/>
                <w:sz w:val="20"/>
                <w:lang w:val="en-GB"/>
              </w:rPr>
              <w:t>30</w:t>
            </w:r>
            <w:r w:rsidR="0025368A" w:rsidRPr="002C2D5C">
              <w:rPr>
                <w:rFonts w:ascii="Verdana" w:hAnsi="Verdana"/>
                <w:sz w:val="20"/>
                <w:lang w:val="en-GB"/>
              </w:rPr>
              <w:t xml:space="preserve"> – </w:t>
            </w:r>
            <w:r w:rsidR="00EF276A" w:rsidRPr="002C2D5C">
              <w:rPr>
                <w:rFonts w:ascii="Verdana" w:hAnsi="Verdana"/>
                <w:sz w:val="20"/>
                <w:lang w:val="en-GB"/>
              </w:rPr>
              <w:t>10h</w:t>
            </w:r>
            <w:r w:rsidR="00386E76" w:rsidRPr="002C2D5C">
              <w:rPr>
                <w:rFonts w:ascii="Verdana" w:hAnsi="Verdana"/>
                <w:sz w:val="20"/>
                <w:lang w:val="en-GB"/>
              </w:rPr>
              <w:t>3</w:t>
            </w:r>
            <w:r w:rsidRPr="002C2D5C">
              <w:rPr>
                <w:rFonts w:ascii="Verdana" w:hAnsi="Verdana"/>
                <w:sz w:val="20"/>
                <w:lang w:val="en-GB"/>
              </w:rPr>
              <w:t>0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194F5" w14:textId="63CD5C10" w:rsidR="0025368A" w:rsidRPr="002C2D5C" w:rsidRDefault="0025368A" w:rsidP="00776226">
            <w:pPr>
              <w:spacing w:after="120"/>
              <w:rPr>
                <w:rFonts w:ascii="Verdana" w:hAnsi="Verdana"/>
                <w:b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sz w:val="20"/>
                <w:lang w:val="en-GB"/>
              </w:rPr>
              <w:t>The Role of Services and Services Trade</w:t>
            </w:r>
            <w:r w:rsidR="007A7CC0" w:rsidRPr="002C2D5C">
              <w:rPr>
                <w:rFonts w:ascii="Verdana" w:hAnsi="Verdana"/>
                <w:b/>
                <w:sz w:val="20"/>
                <w:lang w:val="en-GB"/>
              </w:rPr>
              <w:t xml:space="preserve"> in fostering economic development</w:t>
            </w:r>
          </w:p>
          <w:p w14:paraId="5F49166A" w14:textId="15326717" w:rsidR="0025368A" w:rsidRPr="002C2D5C" w:rsidRDefault="0025368A" w:rsidP="00C55F5E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 xml:space="preserve">This session will </w:t>
            </w:r>
            <w:r w:rsidR="00584014" w:rsidRPr="002C2D5C">
              <w:rPr>
                <w:rFonts w:ascii="Verdana" w:hAnsi="Verdana"/>
                <w:sz w:val="20"/>
                <w:lang w:val="en-GB"/>
              </w:rPr>
              <w:t>examine</w:t>
            </w:r>
            <w:r w:rsidR="007A7CC0" w:rsidRPr="002C2D5C">
              <w:rPr>
                <w:rFonts w:ascii="Verdana" w:hAnsi="Verdana"/>
                <w:sz w:val="20"/>
                <w:lang w:val="en-GB"/>
              </w:rPr>
              <w:t xml:space="preserve"> </w:t>
            </w:r>
            <w:r w:rsidR="00584014" w:rsidRPr="002C2D5C">
              <w:rPr>
                <w:rFonts w:ascii="Verdana" w:hAnsi="Verdana"/>
                <w:sz w:val="20"/>
                <w:lang w:val="en-GB"/>
              </w:rPr>
              <w:t xml:space="preserve">the pivotal role of essential infrastructural </w:t>
            </w:r>
            <w:r w:rsidRPr="002C2D5C">
              <w:rPr>
                <w:rFonts w:ascii="Verdana" w:hAnsi="Verdana"/>
                <w:sz w:val="20"/>
                <w:lang w:val="en-GB"/>
              </w:rPr>
              <w:t xml:space="preserve">services </w:t>
            </w:r>
            <w:r w:rsidR="00584014" w:rsidRPr="002C2D5C">
              <w:rPr>
                <w:rFonts w:ascii="Verdana" w:hAnsi="Verdana"/>
                <w:sz w:val="20"/>
                <w:lang w:val="en-GB"/>
              </w:rPr>
              <w:t>(such as financial, telecommunications</w:t>
            </w:r>
            <w:r w:rsidR="00776226" w:rsidRPr="002C2D5C">
              <w:rPr>
                <w:rFonts w:ascii="Verdana" w:hAnsi="Verdana"/>
                <w:sz w:val="20"/>
                <w:lang w:val="en-GB"/>
              </w:rPr>
              <w:t>,</w:t>
            </w:r>
            <w:r w:rsidR="00584014" w:rsidRPr="002C2D5C">
              <w:rPr>
                <w:rFonts w:ascii="Verdana" w:hAnsi="Verdana"/>
                <w:sz w:val="20"/>
                <w:lang w:val="en-GB"/>
              </w:rPr>
              <w:t xml:space="preserve"> digital, transport</w:t>
            </w:r>
            <w:r w:rsidR="00776226" w:rsidRPr="002C2D5C">
              <w:rPr>
                <w:rFonts w:ascii="Verdana" w:hAnsi="Verdana"/>
                <w:sz w:val="20"/>
                <w:lang w:val="en-GB"/>
              </w:rPr>
              <w:t>,</w:t>
            </w:r>
            <w:r w:rsidR="00584014" w:rsidRPr="002C2D5C">
              <w:rPr>
                <w:rFonts w:ascii="Verdana" w:hAnsi="Verdana"/>
                <w:sz w:val="20"/>
                <w:lang w:val="en-GB"/>
              </w:rPr>
              <w:t xml:space="preserve"> and logistics</w:t>
            </w:r>
            <w:r w:rsidR="00776226" w:rsidRPr="002C2D5C">
              <w:rPr>
                <w:rFonts w:ascii="Verdana" w:hAnsi="Verdana"/>
                <w:sz w:val="20"/>
                <w:lang w:val="en-GB"/>
              </w:rPr>
              <w:t xml:space="preserve"> services</w:t>
            </w:r>
            <w:r w:rsidR="00584014" w:rsidRPr="002C2D5C">
              <w:rPr>
                <w:rFonts w:ascii="Verdana" w:hAnsi="Verdana"/>
                <w:sz w:val="20"/>
                <w:lang w:val="en-GB"/>
              </w:rPr>
              <w:t xml:space="preserve">) </w:t>
            </w:r>
            <w:r w:rsidR="00776226" w:rsidRPr="002C2D5C">
              <w:rPr>
                <w:rFonts w:ascii="Verdana" w:hAnsi="Verdana"/>
                <w:sz w:val="20"/>
                <w:lang w:val="en-GB"/>
              </w:rPr>
              <w:t xml:space="preserve">in supporting the efficient </w:t>
            </w:r>
            <w:r w:rsidR="007A7CC0" w:rsidRPr="002C2D5C">
              <w:rPr>
                <w:rFonts w:ascii="Verdana" w:hAnsi="Verdana"/>
                <w:sz w:val="20"/>
                <w:lang w:val="en-GB"/>
              </w:rPr>
              <w:t xml:space="preserve">functioning </w:t>
            </w:r>
            <w:r w:rsidR="00776226" w:rsidRPr="002C2D5C">
              <w:rPr>
                <w:rFonts w:ascii="Verdana" w:hAnsi="Verdana"/>
                <w:sz w:val="20"/>
                <w:lang w:val="en-GB"/>
              </w:rPr>
              <w:t xml:space="preserve">of </w:t>
            </w:r>
            <w:r w:rsidR="007A7CC0" w:rsidRPr="002C2D5C">
              <w:rPr>
                <w:rFonts w:ascii="Verdana" w:hAnsi="Verdana"/>
                <w:sz w:val="20"/>
                <w:lang w:val="en-GB"/>
              </w:rPr>
              <w:t>modern economies</w:t>
            </w:r>
            <w:r w:rsidR="00584014" w:rsidRPr="002C2D5C">
              <w:rPr>
                <w:rFonts w:ascii="Verdana" w:hAnsi="Verdana"/>
                <w:sz w:val="20"/>
                <w:lang w:val="en-GB"/>
              </w:rPr>
              <w:t xml:space="preserve">, </w:t>
            </w:r>
            <w:r w:rsidR="00584014" w:rsidRPr="002C2D5C">
              <w:rPr>
                <w:rFonts w:ascii="Verdana" w:hAnsi="Verdana"/>
                <w:sz w:val="20"/>
                <w:lang w:val="en-GB"/>
              </w:rPr>
              <w:lastRenderedPageBreak/>
              <w:t>export diversification</w:t>
            </w:r>
            <w:r w:rsidR="00776226" w:rsidRPr="002C2D5C">
              <w:rPr>
                <w:rFonts w:ascii="Verdana" w:hAnsi="Verdana"/>
                <w:sz w:val="20"/>
                <w:lang w:val="en-GB"/>
              </w:rPr>
              <w:t>,</w:t>
            </w:r>
            <w:r w:rsidR="00584014" w:rsidRPr="002C2D5C">
              <w:rPr>
                <w:rFonts w:ascii="Verdana" w:hAnsi="Verdana"/>
                <w:sz w:val="20"/>
                <w:lang w:val="en-GB"/>
              </w:rPr>
              <w:t xml:space="preserve"> and integration into global value chains</w:t>
            </w:r>
            <w:r w:rsidRPr="002C2D5C">
              <w:rPr>
                <w:rFonts w:ascii="Verdana" w:hAnsi="Verdana"/>
                <w:sz w:val="20"/>
                <w:lang w:val="en-GB"/>
              </w:rPr>
              <w:t xml:space="preserve">. </w:t>
            </w:r>
            <w:r w:rsidR="00776226" w:rsidRPr="002C2D5C">
              <w:rPr>
                <w:rFonts w:ascii="Verdana" w:hAnsi="Verdana"/>
                <w:sz w:val="20"/>
                <w:lang w:val="en-GB"/>
              </w:rPr>
              <w:t xml:space="preserve">The discussion will also </w:t>
            </w:r>
            <w:r w:rsidRPr="002C2D5C">
              <w:rPr>
                <w:rFonts w:ascii="Verdana" w:hAnsi="Verdana"/>
                <w:sz w:val="20"/>
                <w:lang w:val="en-GB"/>
              </w:rPr>
              <w:t>explore how services are traded</w:t>
            </w:r>
            <w:r w:rsidR="00776226" w:rsidRPr="002C2D5C">
              <w:rPr>
                <w:rFonts w:ascii="Verdana" w:hAnsi="Verdana"/>
                <w:sz w:val="20"/>
                <w:lang w:val="en-GB"/>
              </w:rPr>
              <w:t>,</w:t>
            </w:r>
            <w:r w:rsidRPr="002C2D5C">
              <w:rPr>
                <w:rFonts w:ascii="Verdana" w:hAnsi="Verdana"/>
                <w:sz w:val="20"/>
                <w:lang w:val="en-GB"/>
              </w:rPr>
              <w:t xml:space="preserve"> and </w:t>
            </w:r>
            <w:r w:rsidR="001A6AFB" w:rsidRPr="002C2D5C">
              <w:rPr>
                <w:rFonts w:ascii="Verdana" w:hAnsi="Verdana"/>
                <w:sz w:val="20"/>
                <w:lang w:val="en-GB"/>
              </w:rPr>
              <w:t xml:space="preserve">the </w:t>
            </w:r>
            <w:r w:rsidRPr="002C2D5C">
              <w:rPr>
                <w:rFonts w:ascii="Verdana" w:hAnsi="Verdana"/>
                <w:sz w:val="20"/>
                <w:lang w:val="en-GB"/>
              </w:rPr>
              <w:t xml:space="preserve">reasons </w:t>
            </w:r>
            <w:r w:rsidR="00776226" w:rsidRPr="002C2D5C">
              <w:rPr>
                <w:rFonts w:ascii="Verdana" w:hAnsi="Verdana"/>
                <w:sz w:val="20"/>
                <w:lang w:val="en-GB"/>
              </w:rPr>
              <w:t xml:space="preserve">for </w:t>
            </w:r>
            <w:r w:rsidR="00EF276A" w:rsidRPr="002C2D5C">
              <w:rPr>
                <w:rFonts w:ascii="Verdana" w:hAnsi="Verdana"/>
                <w:sz w:val="20"/>
                <w:lang w:val="en-GB"/>
              </w:rPr>
              <w:t xml:space="preserve">the </w:t>
            </w:r>
            <w:r w:rsidR="00776226" w:rsidRPr="002C2D5C">
              <w:rPr>
                <w:rFonts w:ascii="Verdana" w:hAnsi="Verdana"/>
                <w:sz w:val="20"/>
                <w:lang w:val="en-GB"/>
              </w:rPr>
              <w:t xml:space="preserve">importance </w:t>
            </w:r>
            <w:r w:rsidR="00EF276A" w:rsidRPr="002C2D5C">
              <w:rPr>
                <w:rFonts w:ascii="Verdana" w:hAnsi="Verdana"/>
                <w:sz w:val="20"/>
                <w:lang w:val="en-GB"/>
              </w:rPr>
              <w:t>of</w:t>
            </w:r>
            <w:r w:rsidRPr="002C2D5C">
              <w:rPr>
                <w:rFonts w:ascii="Verdana" w:hAnsi="Verdana"/>
                <w:sz w:val="20"/>
                <w:lang w:val="en-GB"/>
              </w:rPr>
              <w:t xml:space="preserve"> </w:t>
            </w:r>
            <w:r w:rsidR="00584014" w:rsidRPr="002C2D5C">
              <w:rPr>
                <w:rFonts w:ascii="Verdana" w:hAnsi="Verdana"/>
                <w:sz w:val="20"/>
                <w:lang w:val="en-GB"/>
              </w:rPr>
              <w:t xml:space="preserve">the </w:t>
            </w:r>
            <w:r w:rsidR="001A6AFB" w:rsidRPr="002C2D5C">
              <w:rPr>
                <w:rFonts w:ascii="Verdana" w:hAnsi="Verdana"/>
                <w:sz w:val="20"/>
                <w:lang w:val="en-GB"/>
              </w:rPr>
              <w:t>General Agreement on Trade in Services (</w:t>
            </w:r>
            <w:r w:rsidRPr="002C2D5C">
              <w:rPr>
                <w:rFonts w:ascii="Verdana" w:hAnsi="Verdana"/>
                <w:sz w:val="20"/>
                <w:lang w:val="en-GB"/>
              </w:rPr>
              <w:t>GATS</w:t>
            </w:r>
            <w:r w:rsidR="001A6AFB" w:rsidRPr="002C2D5C">
              <w:rPr>
                <w:rFonts w:ascii="Verdana" w:hAnsi="Verdana"/>
                <w:sz w:val="20"/>
                <w:lang w:val="en-GB"/>
              </w:rPr>
              <w:t>)</w:t>
            </w:r>
            <w:r w:rsidR="00EF276A" w:rsidRPr="002C2D5C">
              <w:rPr>
                <w:rFonts w:ascii="Verdana" w:hAnsi="Verdana"/>
                <w:sz w:val="20"/>
                <w:lang w:val="en-GB"/>
              </w:rPr>
              <w:t xml:space="preserve"> and other trade in services agreements</w:t>
            </w:r>
            <w:r w:rsidRPr="002C2D5C">
              <w:rPr>
                <w:rFonts w:ascii="Verdana" w:hAnsi="Verdana"/>
                <w:sz w:val="20"/>
                <w:lang w:val="en-GB"/>
              </w:rPr>
              <w:t>.</w:t>
            </w:r>
          </w:p>
          <w:p w14:paraId="0ED7D713" w14:textId="77777777" w:rsidR="0025368A" w:rsidRPr="002C2D5C" w:rsidRDefault="0025368A" w:rsidP="00C55F5E">
            <w:pPr>
              <w:rPr>
                <w:rFonts w:ascii="Verdana" w:hAnsi="Verdana"/>
                <w:b/>
                <w:sz w:val="20"/>
                <w:lang w:val="en-GB"/>
              </w:rPr>
            </w:pPr>
          </w:p>
          <w:p w14:paraId="57B0E114" w14:textId="672E50BA" w:rsidR="00665675" w:rsidRPr="002C2D5C" w:rsidRDefault="00665675" w:rsidP="00665675">
            <w:pPr>
              <w:rPr>
                <w:rFonts w:ascii="Verdana" w:hAnsi="Verdana"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Cs/>
                <w:sz w:val="20"/>
                <w:lang w:val="en-GB"/>
              </w:rPr>
              <w:t xml:space="preserve">This session will also introduce the new </w:t>
            </w:r>
            <w:r w:rsidRPr="002C2D5C">
              <w:rPr>
                <w:rFonts w:ascii="Verdana" w:hAnsi="Verdana"/>
                <w:b/>
                <w:sz w:val="20"/>
                <w:lang w:val="en-GB"/>
              </w:rPr>
              <w:t>WTO-World Bank initiative on</w:t>
            </w:r>
            <w:r w:rsidR="00952597">
              <w:rPr>
                <w:rFonts w:ascii="Verdana" w:hAnsi="Verdana"/>
                <w:b/>
                <w:sz w:val="20"/>
                <w:lang w:val="en-GB"/>
              </w:rPr>
              <w:t xml:space="preserve"> Trade in</w:t>
            </w:r>
            <w:r w:rsidRPr="002C2D5C">
              <w:rPr>
                <w:rFonts w:ascii="Verdana" w:hAnsi="Verdana"/>
                <w:b/>
                <w:sz w:val="20"/>
                <w:lang w:val="en-GB"/>
              </w:rPr>
              <w:t xml:space="preserve"> Services for Development (T</w:t>
            </w:r>
            <w:r w:rsidR="00952597">
              <w:rPr>
                <w:rFonts w:ascii="Verdana" w:hAnsi="Verdana"/>
                <w:b/>
                <w:sz w:val="20"/>
                <w:lang w:val="en-GB"/>
              </w:rPr>
              <w:t>S</w:t>
            </w:r>
            <w:r w:rsidRPr="002C2D5C">
              <w:rPr>
                <w:rFonts w:ascii="Verdana" w:hAnsi="Verdana"/>
                <w:b/>
                <w:sz w:val="20"/>
                <w:lang w:val="en-GB"/>
              </w:rPr>
              <w:t>4D)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,</w:t>
            </w:r>
            <w:r w:rsidRPr="002C2D5C">
              <w:rPr>
                <w:rFonts w:ascii="Verdana" w:hAnsi="Verdana"/>
                <w:b/>
                <w:sz w:val="20"/>
                <w:lang w:val="en-GB"/>
              </w:rPr>
              <w:t xml:space="preserve">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 xml:space="preserve">including objectives, and </w:t>
            </w:r>
            <w:r w:rsidR="00952597">
              <w:rPr>
                <w:rFonts w:ascii="Verdana" w:hAnsi="Verdana"/>
                <w:bCs/>
                <w:sz w:val="20"/>
                <w:lang w:val="en-GB"/>
              </w:rPr>
              <w:t xml:space="preserve">initial </w:t>
            </w:r>
            <w:r w:rsidR="00835F43" w:rsidRPr="002C2D5C">
              <w:rPr>
                <w:rFonts w:ascii="Verdana" w:hAnsi="Verdana"/>
                <w:bCs/>
                <w:sz w:val="20"/>
                <w:lang w:val="en-GB"/>
              </w:rPr>
              <w:t xml:space="preserve">work </w:t>
            </w:r>
            <w:r w:rsidR="00952597">
              <w:rPr>
                <w:rFonts w:ascii="Verdana" w:hAnsi="Verdana"/>
                <w:bCs/>
                <w:sz w:val="20"/>
                <w:lang w:val="en-GB"/>
              </w:rPr>
              <w:t>program of assistance for developing countries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 xml:space="preserve">.  </w:t>
            </w:r>
          </w:p>
          <w:p w14:paraId="60D00C04" w14:textId="37B7A59E" w:rsidR="00665675" w:rsidRPr="002C2D5C" w:rsidRDefault="00665675" w:rsidP="00C55F5E">
            <w:pPr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386E76" w:rsidRPr="002C2D5C" w14:paraId="177E3FA3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8E002" w14:textId="6EEDC287" w:rsidR="00386E76" w:rsidRPr="002C2D5C" w:rsidRDefault="00386E76" w:rsidP="00386E76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bCs/>
                <w:sz w:val="20"/>
                <w:lang w:val="en-GB"/>
              </w:rPr>
              <w:lastRenderedPageBreak/>
              <w:t xml:space="preserve">10h30 </w:t>
            </w:r>
            <w:r w:rsidRPr="002C2D5C">
              <w:rPr>
                <w:rFonts w:ascii="Verdana" w:hAnsi="Verdana"/>
                <w:sz w:val="20"/>
                <w:lang w:val="en-GB"/>
              </w:rPr>
              <w:t>–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 xml:space="preserve"> 10h45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CA164" w14:textId="77777777" w:rsidR="00386E76" w:rsidRPr="002C2D5C" w:rsidRDefault="00386E76" w:rsidP="00386E76">
            <w:pPr>
              <w:rPr>
                <w:rFonts w:ascii="Verdana" w:hAnsi="Verdana"/>
                <w:bCs/>
                <w:i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bCs/>
                <w:i/>
                <w:iCs/>
                <w:sz w:val="20"/>
                <w:lang w:val="en-GB"/>
              </w:rPr>
              <w:t>Coffee Break</w:t>
            </w:r>
          </w:p>
          <w:p w14:paraId="2106A896" w14:textId="77777777" w:rsidR="00386E76" w:rsidRPr="002C2D5C" w:rsidRDefault="00386E76" w:rsidP="00386E76">
            <w:pPr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386E76" w:rsidRPr="00952597" w14:paraId="06DAE98C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3171" w14:textId="5FBDE75E" w:rsidR="00386E76" w:rsidRPr="002C2D5C" w:rsidRDefault="00386E76" w:rsidP="00386E76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 xml:space="preserve">10h45 – 12h30  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F102C" w14:textId="05BC6907" w:rsidR="00386E76" w:rsidRPr="002C2D5C" w:rsidRDefault="00386E76" w:rsidP="00386E76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Key features of the GATS, </w:t>
            </w:r>
            <w:r w:rsidR="00E324F2">
              <w:rPr>
                <w:rFonts w:ascii="Verdana" w:hAnsi="Verdana"/>
                <w:b/>
                <w:bCs/>
                <w:sz w:val="20"/>
                <w:lang w:val="en-GB"/>
              </w:rPr>
              <w:t>g</w:t>
            </w: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eneral </w:t>
            </w:r>
            <w:proofErr w:type="gramStart"/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obligations</w:t>
            </w:r>
            <w:proofErr w:type="gramEnd"/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 and specific commitments </w:t>
            </w:r>
          </w:p>
          <w:p w14:paraId="2EBC55E8" w14:textId="77777777" w:rsidR="00386E76" w:rsidRPr="002C2D5C" w:rsidRDefault="00386E76" w:rsidP="00386E76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2C2D5C">
              <w:rPr>
                <w:sz w:val="20"/>
                <w:szCs w:val="20"/>
              </w:rPr>
              <w:t>Structure, scope &amp; coverage (including modes of supply)</w:t>
            </w:r>
          </w:p>
          <w:p w14:paraId="774CA936" w14:textId="2815DB6E" w:rsidR="00386E76" w:rsidRPr="002C2D5C" w:rsidRDefault="00386E76" w:rsidP="00386E76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2C2D5C">
              <w:rPr>
                <w:sz w:val="20"/>
                <w:szCs w:val="20"/>
              </w:rPr>
              <w:t>Architectu</w:t>
            </w:r>
            <w:r w:rsidR="006F5DCF" w:rsidRPr="002C2D5C">
              <w:rPr>
                <w:sz w:val="20"/>
                <w:szCs w:val="20"/>
              </w:rPr>
              <w:t>re of the GATS: Agreement, Annexes, Schedules of specific commitments</w:t>
            </w:r>
            <w:r w:rsidRPr="002C2D5C">
              <w:rPr>
                <w:sz w:val="20"/>
                <w:szCs w:val="20"/>
              </w:rPr>
              <w:t xml:space="preserve"> </w:t>
            </w:r>
          </w:p>
          <w:p w14:paraId="53048715" w14:textId="62E92D78" w:rsidR="00386E76" w:rsidRPr="002C2D5C" w:rsidRDefault="00386E76" w:rsidP="00386E76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  <w:tab w:val="left" w:pos="3600"/>
              </w:tabs>
              <w:spacing w:after="120"/>
              <w:contextualSpacing w:val="0"/>
              <w:rPr>
                <w:sz w:val="20"/>
                <w:szCs w:val="20"/>
              </w:rPr>
            </w:pPr>
            <w:r w:rsidRPr="002C2D5C">
              <w:rPr>
                <w:sz w:val="20"/>
                <w:szCs w:val="20"/>
              </w:rPr>
              <w:t>General obligations – Most-</w:t>
            </w:r>
            <w:r w:rsidR="002C2D5C" w:rsidRPr="002C2D5C">
              <w:rPr>
                <w:sz w:val="20"/>
                <w:szCs w:val="20"/>
              </w:rPr>
              <w:t>F</w:t>
            </w:r>
            <w:r w:rsidRPr="002C2D5C">
              <w:rPr>
                <w:sz w:val="20"/>
                <w:szCs w:val="20"/>
              </w:rPr>
              <w:t>avoured</w:t>
            </w:r>
            <w:r w:rsidR="002C2D5C" w:rsidRPr="002C2D5C">
              <w:rPr>
                <w:sz w:val="20"/>
                <w:szCs w:val="20"/>
              </w:rPr>
              <w:t>-N</w:t>
            </w:r>
            <w:r w:rsidRPr="002C2D5C">
              <w:rPr>
                <w:sz w:val="20"/>
                <w:szCs w:val="20"/>
              </w:rPr>
              <w:t xml:space="preserve">ation treatment, </w:t>
            </w:r>
            <w:r w:rsidR="002C2D5C" w:rsidRPr="002C2D5C">
              <w:rPr>
                <w:sz w:val="20"/>
                <w:szCs w:val="20"/>
              </w:rPr>
              <w:t>certain basic t</w:t>
            </w:r>
            <w:r w:rsidRPr="002C2D5C">
              <w:rPr>
                <w:sz w:val="20"/>
                <w:szCs w:val="20"/>
              </w:rPr>
              <w:t>ransparency</w:t>
            </w:r>
            <w:r w:rsidR="002C2D5C" w:rsidRPr="002C2D5C">
              <w:rPr>
                <w:sz w:val="20"/>
                <w:szCs w:val="20"/>
              </w:rPr>
              <w:t xml:space="preserve"> provisions</w:t>
            </w:r>
            <w:r w:rsidRPr="002C2D5C">
              <w:rPr>
                <w:sz w:val="20"/>
                <w:szCs w:val="20"/>
              </w:rPr>
              <w:t>,</w:t>
            </w:r>
            <w:r w:rsidR="002C2D5C" w:rsidRPr="002C2D5C">
              <w:rPr>
                <w:rFonts w:eastAsia="Times New Roman" w:cs="Times New Roman"/>
                <w:szCs w:val="18"/>
              </w:rPr>
              <w:t xml:space="preserve"> </w:t>
            </w:r>
            <w:r w:rsidR="002C2D5C" w:rsidRPr="002C2D5C">
              <w:rPr>
                <w:sz w:val="20"/>
                <w:szCs w:val="20"/>
              </w:rPr>
              <w:t>the availability of domestic legal remedies</w:t>
            </w:r>
            <w:r w:rsidRPr="002C2D5C">
              <w:rPr>
                <w:sz w:val="20"/>
                <w:szCs w:val="20"/>
              </w:rPr>
              <w:t xml:space="preserve">, </w:t>
            </w:r>
            <w:r w:rsidR="00E324F2">
              <w:rPr>
                <w:sz w:val="20"/>
                <w:szCs w:val="20"/>
              </w:rPr>
              <w:t>etc.</w:t>
            </w:r>
          </w:p>
          <w:p w14:paraId="689A69D4" w14:textId="11D1E50A" w:rsidR="00386E76" w:rsidRPr="002C2D5C" w:rsidRDefault="00386E76" w:rsidP="00386E76">
            <w:pPr>
              <w:pStyle w:val="ListParagraph"/>
              <w:numPr>
                <w:ilvl w:val="0"/>
                <w:numId w:val="12"/>
              </w:numPr>
              <w:tabs>
                <w:tab w:val="left" w:pos="2700"/>
                <w:tab w:val="left" w:pos="3600"/>
              </w:tabs>
              <w:spacing w:after="120"/>
              <w:contextualSpacing w:val="0"/>
              <w:rPr>
                <w:sz w:val="20"/>
                <w:szCs w:val="20"/>
              </w:rPr>
            </w:pPr>
            <w:r w:rsidRPr="002C2D5C">
              <w:rPr>
                <w:sz w:val="20"/>
                <w:szCs w:val="20"/>
              </w:rPr>
              <w:t>Specific commitments – Market Access, National Treatment, Additional Commitments</w:t>
            </w:r>
          </w:p>
        </w:tc>
      </w:tr>
      <w:tr w:rsidR="00386E76" w:rsidRPr="002C2D5C" w14:paraId="17382792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60D4A" w14:textId="605243C5" w:rsidR="00386E76" w:rsidRPr="002C2D5C" w:rsidRDefault="00386E76" w:rsidP="00386E76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12h30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–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 14h00</w:t>
            </w:r>
          </w:p>
          <w:p w14:paraId="6EB6B0E4" w14:textId="77777777" w:rsidR="00386E76" w:rsidRPr="002C2D5C" w:rsidRDefault="00386E76" w:rsidP="00386E76">
            <w:pPr>
              <w:rPr>
                <w:rFonts w:ascii="Verdana" w:hAnsi="Verdana"/>
                <w:bCs/>
                <w:sz w:val="20"/>
                <w:lang w:val="en-GB"/>
              </w:rPr>
            </w:pP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D0F7D" w14:textId="48094B15" w:rsidR="00386E76" w:rsidRPr="002C2D5C" w:rsidRDefault="00386E76" w:rsidP="00386E76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/>
                <w:iCs/>
                <w:sz w:val="20"/>
                <w:lang w:val="en-GB"/>
              </w:rPr>
              <w:t>Lunch Break</w:t>
            </w:r>
          </w:p>
        </w:tc>
      </w:tr>
      <w:tr w:rsidR="00386E76" w:rsidRPr="002C2D5C" w14:paraId="1F4BB298" w14:textId="77777777" w:rsidTr="00294FD2"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2DA3" w14:textId="2F4E28BA" w:rsidR="00386E76" w:rsidRPr="002C2D5C" w:rsidRDefault="00386E76" w:rsidP="00386E76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14h00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– 16h00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AA72D" w14:textId="133FCBDB" w:rsidR="00386E76" w:rsidRPr="002C2D5C" w:rsidRDefault="00386E76" w:rsidP="00386E76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Key features of the GATS, </w:t>
            </w:r>
            <w:r w:rsidR="001A6AFB" w:rsidRPr="002C2D5C">
              <w:rPr>
                <w:rFonts w:ascii="Verdana" w:hAnsi="Verdana"/>
                <w:b/>
                <w:bCs/>
                <w:sz w:val="20"/>
                <w:lang w:val="en-GB"/>
              </w:rPr>
              <w:t>g</w:t>
            </w: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eneral </w:t>
            </w:r>
            <w:proofErr w:type="gramStart"/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obligations</w:t>
            </w:r>
            <w:proofErr w:type="gramEnd"/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 and specific commitments </w:t>
            </w:r>
          </w:p>
          <w:p w14:paraId="431888FA" w14:textId="3D2B08EC" w:rsidR="00386E76" w:rsidRPr="002C2D5C" w:rsidRDefault="00386E76" w:rsidP="00386E76">
            <w:pPr>
              <w:tabs>
                <w:tab w:val="left" w:pos="2700"/>
                <w:tab w:val="left" w:pos="3600"/>
              </w:tabs>
              <w:spacing w:after="120"/>
              <w:rPr>
                <w:i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>(continued)</w:t>
            </w:r>
          </w:p>
        </w:tc>
      </w:tr>
    </w:tbl>
    <w:p w14:paraId="45449EEB" w14:textId="281340D2" w:rsidR="00D920E6" w:rsidRPr="002C2D5C" w:rsidRDefault="00D920E6" w:rsidP="00436B8F">
      <w:pPr>
        <w:rPr>
          <w:rFonts w:ascii="Verdana" w:hAnsi="Verdana"/>
          <w:b/>
          <w:sz w:val="20"/>
          <w:u w:val="single"/>
          <w:lang w:val="en-GB"/>
        </w:rPr>
      </w:pPr>
    </w:p>
    <w:p w14:paraId="05AA828C" w14:textId="77777777" w:rsidR="009448E0" w:rsidRPr="002C2D5C" w:rsidRDefault="009448E0" w:rsidP="00436B8F">
      <w:pPr>
        <w:rPr>
          <w:rFonts w:ascii="Verdana" w:hAnsi="Verdana"/>
          <w:b/>
          <w:sz w:val="20"/>
          <w:u w:val="single"/>
          <w:lang w:val="en-GB"/>
        </w:rPr>
      </w:pPr>
    </w:p>
    <w:p w14:paraId="7D03E6F3" w14:textId="58690BBB" w:rsidR="00436B8F" w:rsidRPr="002C2D5C" w:rsidRDefault="00334117" w:rsidP="00436B8F">
      <w:pPr>
        <w:rPr>
          <w:rFonts w:ascii="Verdana" w:hAnsi="Verdana"/>
          <w:b/>
          <w:sz w:val="20"/>
          <w:u w:val="single"/>
          <w:lang w:val="en-GB"/>
        </w:rPr>
      </w:pPr>
      <w:r>
        <w:rPr>
          <w:rFonts w:ascii="Verdana" w:hAnsi="Verdana"/>
          <w:b/>
          <w:sz w:val="20"/>
          <w:u w:val="single"/>
          <w:lang w:val="en-GB"/>
        </w:rPr>
        <w:t>Tuesday, 10 December</w:t>
      </w:r>
    </w:p>
    <w:p w14:paraId="19BFE740" w14:textId="77777777" w:rsidR="00436B8F" w:rsidRPr="002C2D5C" w:rsidRDefault="00436B8F" w:rsidP="00436B8F">
      <w:pPr>
        <w:rPr>
          <w:rFonts w:ascii="Verdana" w:hAnsi="Verdana"/>
          <w:b/>
          <w:sz w:val="20"/>
          <w:lang w:val="en-GB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94"/>
        <w:gridCol w:w="6432"/>
      </w:tblGrid>
      <w:tr w:rsidR="00436B8F" w:rsidRPr="00952597" w14:paraId="74E45A33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E7E8C" w14:textId="024D8D9F" w:rsidR="00436B8F" w:rsidRPr="002C2D5C" w:rsidRDefault="000316D8" w:rsidP="00E07494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bCs/>
                <w:sz w:val="20"/>
                <w:lang w:val="en-GB"/>
              </w:rPr>
              <w:t>9h</w:t>
            </w:r>
            <w:r w:rsidR="00B51EB8" w:rsidRPr="002C2D5C">
              <w:rPr>
                <w:rFonts w:ascii="Verdana" w:hAnsi="Verdana"/>
                <w:bCs/>
                <w:sz w:val="20"/>
                <w:lang w:val="en-GB"/>
              </w:rPr>
              <w:t>0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 xml:space="preserve">0 </w:t>
            </w:r>
            <w:r w:rsidR="00436B8F" w:rsidRPr="002C2D5C">
              <w:rPr>
                <w:rFonts w:ascii="Verdana" w:hAnsi="Verdana"/>
                <w:sz w:val="20"/>
                <w:lang w:val="en-GB"/>
              </w:rPr>
              <w:t>–</w:t>
            </w:r>
            <w:r w:rsidR="00436B8F" w:rsidRPr="002C2D5C">
              <w:rPr>
                <w:rFonts w:ascii="Verdana" w:hAnsi="Verdana"/>
                <w:bCs/>
                <w:sz w:val="20"/>
                <w:lang w:val="en-GB"/>
              </w:rPr>
              <w:t xml:space="preserve">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10h30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9E6F8" w14:textId="631B2F8F" w:rsidR="00436B8F" w:rsidRPr="002C2D5C" w:rsidRDefault="00F51A0F" w:rsidP="00F51A0F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Schedules of Specific Commitments</w:t>
            </w:r>
          </w:p>
          <w:p w14:paraId="377EBA3F" w14:textId="77777777" w:rsidR="00386E76" w:rsidRPr="002C2D5C" w:rsidRDefault="00386E76" w:rsidP="00386E76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2C2D5C">
              <w:rPr>
                <w:sz w:val="20"/>
                <w:szCs w:val="20"/>
              </w:rPr>
              <w:t>Scheduling guidelines and techniques, horizontal and sector-specific commitments</w:t>
            </w:r>
          </w:p>
          <w:p w14:paraId="304F56B1" w14:textId="1DF375E0" w:rsidR="00386E76" w:rsidRPr="00334117" w:rsidRDefault="00386E76" w:rsidP="006067C2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sz w:val="20"/>
                <w:szCs w:val="20"/>
                <w:lang w:val="fr-CH"/>
              </w:rPr>
            </w:pPr>
            <w:proofErr w:type="gramStart"/>
            <w:r w:rsidRPr="00334117">
              <w:rPr>
                <w:sz w:val="20"/>
                <w:szCs w:val="20"/>
                <w:lang w:val="fr-CH"/>
              </w:rPr>
              <w:t>Classifications:</w:t>
            </w:r>
            <w:proofErr w:type="gramEnd"/>
            <w:r w:rsidRPr="00334117">
              <w:rPr>
                <w:sz w:val="20"/>
                <w:szCs w:val="20"/>
                <w:lang w:val="fr-CH"/>
              </w:rPr>
              <w:t xml:space="preserve"> W120, UN CPC, etc.</w:t>
            </w:r>
          </w:p>
          <w:p w14:paraId="6FC85EA9" w14:textId="6497C72F" w:rsidR="00ED023D" w:rsidRPr="002C2D5C" w:rsidRDefault="00ED023D" w:rsidP="00386E76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2C2D5C">
              <w:rPr>
                <w:sz w:val="20"/>
                <w:szCs w:val="20"/>
              </w:rPr>
              <w:t>Guyana's Schedule</w:t>
            </w:r>
            <w:r w:rsidR="00E324F2">
              <w:rPr>
                <w:sz w:val="20"/>
                <w:szCs w:val="20"/>
              </w:rPr>
              <w:t xml:space="preserve"> of </w:t>
            </w:r>
            <w:r w:rsidR="00D64663">
              <w:rPr>
                <w:sz w:val="20"/>
                <w:szCs w:val="20"/>
              </w:rPr>
              <w:t>s</w:t>
            </w:r>
            <w:r w:rsidR="00E324F2">
              <w:rPr>
                <w:sz w:val="20"/>
                <w:szCs w:val="20"/>
              </w:rPr>
              <w:t xml:space="preserve">pecific </w:t>
            </w:r>
            <w:r w:rsidR="00D64663">
              <w:rPr>
                <w:sz w:val="20"/>
                <w:szCs w:val="20"/>
              </w:rPr>
              <w:t>c</w:t>
            </w:r>
            <w:r w:rsidR="00E324F2">
              <w:rPr>
                <w:sz w:val="20"/>
                <w:szCs w:val="20"/>
              </w:rPr>
              <w:t>ommitments</w:t>
            </w:r>
          </w:p>
        </w:tc>
      </w:tr>
      <w:tr w:rsidR="004C34C9" w:rsidRPr="002C2D5C" w14:paraId="3C08C1D2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B089" w14:textId="77777777" w:rsidR="000316D8" w:rsidRPr="002C2D5C" w:rsidRDefault="000316D8" w:rsidP="00950C61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>10h30 – 10h45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6652A" w14:textId="77777777" w:rsidR="000316D8" w:rsidRPr="002C2D5C" w:rsidRDefault="000316D8" w:rsidP="00950C61">
            <w:pPr>
              <w:rPr>
                <w:rFonts w:ascii="Verdana" w:hAnsi="Verdana"/>
                <w:bCs/>
                <w:i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bCs/>
                <w:i/>
                <w:iCs/>
                <w:sz w:val="20"/>
                <w:lang w:val="en-GB"/>
              </w:rPr>
              <w:t>Coffee Break</w:t>
            </w:r>
          </w:p>
          <w:p w14:paraId="1473DD98" w14:textId="77777777" w:rsidR="000316D8" w:rsidRPr="002C2D5C" w:rsidRDefault="000316D8" w:rsidP="00950C61">
            <w:pPr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4C34C9" w:rsidRPr="00952597" w14:paraId="3B080BA6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F522" w14:textId="153B6F7A" w:rsidR="000316D8" w:rsidRPr="002C2D5C" w:rsidRDefault="000316D8" w:rsidP="00950C61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10h45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– 12h30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13AF" w14:textId="76DBD47F" w:rsidR="006A0751" w:rsidRPr="002C2D5C" w:rsidRDefault="006A0751" w:rsidP="00891A73">
            <w:pPr>
              <w:rPr>
                <w:rFonts w:ascii="Verdana" w:hAnsi="Verdana"/>
                <w:b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sz w:val="20"/>
                <w:lang w:val="en-GB"/>
              </w:rPr>
              <w:t>Introduction to the</w:t>
            </w:r>
            <w:r w:rsidR="00952597">
              <w:rPr>
                <w:rFonts w:ascii="Verdana" w:hAnsi="Verdana"/>
                <w:b/>
                <w:sz w:val="20"/>
                <w:lang w:val="en-GB"/>
              </w:rPr>
              <w:t xml:space="preserve"> World Bank-WTO</w:t>
            </w:r>
            <w:r w:rsidRPr="002C2D5C">
              <w:rPr>
                <w:rFonts w:ascii="Verdana" w:hAnsi="Verdana"/>
                <w:b/>
                <w:sz w:val="20"/>
                <w:lang w:val="en-GB"/>
              </w:rPr>
              <w:t xml:space="preserve"> </w:t>
            </w:r>
            <w:r w:rsidR="00952597">
              <w:rPr>
                <w:rFonts w:ascii="Verdana" w:hAnsi="Verdana"/>
                <w:b/>
                <w:sz w:val="20"/>
                <w:lang w:val="en-GB"/>
              </w:rPr>
              <w:t>trade in services regulatory survey, the Services Trade Policy Database (STPD), and Services Trade Restrictions Index (STRI)</w:t>
            </w:r>
            <w:r w:rsidRPr="002C2D5C">
              <w:rPr>
                <w:rFonts w:ascii="Verdana" w:hAnsi="Verdana"/>
                <w:b/>
                <w:sz w:val="20"/>
                <w:lang w:val="en-GB"/>
              </w:rPr>
              <w:t>(</w:t>
            </w:r>
            <w:r w:rsidRPr="002C2D5C">
              <w:rPr>
                <w:rFonts w:ascii="Verdana" w:hAnsi="Verdana"/>
                <w:b/>
                <w:sz w:val="20"/>
                <w:highlight w:val="yellow"/>
                <w:lang w:val="en-GB"/>
              </w:rPr>
              <w:t>Online</w:t>
            </w:r>
            <w:r w:rsidRPr="002C2D5C">
              <w:rPr>
                <w:rFonts w:ascii="Verdana" w:hAnsi="Verdana"/>
                <w:b/>
                <w:sz w:val="20"/>
                <w:lang w:val="en-GB"/>
              </w:rPr>
              <w:t>)</w:t>
            </w:r>
          </w:p>
          <w:p w14:paraId="0EC64D44" w14:textId="74BB7ACF" w:rsidR="009E3360" w:rsidRPr="002C2D5C" w:rsidRDefault="009E3360" w:rsidP="006F5DCF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sz w:val="20"/>
                <w:lang w:val="en-GB"/>
              </w:rPr>
            </w:pPr>
          </w:p>
          <w:p w14:paraId="4B0C899C" w14:textId="77777777" w:rsidR="000316D8" w:rsidRPr="002C2D5C" w:rsidRDefault="000316D8" w:rsidP="00715D96">
            <w:pPr>
              <w:tabs>
                <w:tab w:val="left" w:pos="2700"/>
                <w:tab w:val="left" w:pos="3600"/>
              </w:tabs>
              <w:rPr>
                <w:rFonts w:ascii="Verdana" w:hAnsi="Verdana"/>
                <w:i/>
                <w:iCs/>
                <w:sz w:val="20"/>
                <w:lang w:val="en-GB"/>
              </w:rPr>
            </w:pPr>
          </w:p>
        </w:tc>
      </w:tr>
      <w:tr w:rsidR="00436B8F" w:rsidRPr="002C2D5C" w14:paraId="7C984E43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DF0A" w14:textId="43E62A4E" w:rsidR="00436B8F" w:rsidRPr="002C2D5C" w:rsidRDefault="00436B8F" w:rsidP="00E07494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12h30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–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 1</w:t>
            </w:r>
            <w:r w:rsidR="00B51EB8" w:rsidRPr="002C2D5C">
              <w:rPr>
                <w:rFonts w:ascii="Verdana" w:hAnsi="Verdana"/>
                <w:iCs/>
                <w:sz w:val="20"/>
                <w:lang w:val="en-GB"/>
              </w:rPr>
              <w:t>4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>h</w:t>
            </w:r>
            <w:r w:rsidR="00B51EB8" w:rsidRPr="002C2D5C">
              <w:rPr>
                <w:rFonts w:ascii="Verdana" w:hAnsi="Verdana"/>
                <w:iCs/>
                <w:sz w:val="20"/>
                <w:lang w:val="en-GB"/>
              </w:rPr>
              <w:t>0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>0</w:t>
            </w:r>
          </w:p>
          <w:p w14:paraId="34137174" w14:textId="77777777" w:rsidR="00436B8F" w:rsidRPr="002C2D5C" w:rsidRDefault="00436B8F" w:rsidP="00E07494">
            <w:pPr>
              <w:rPr>
                <w:rFonts w:ascii="Verdana" w:hAnsi="Verdana"/>
                <w:bCs/>
                <w:sz w:val="20"/>
                <w:lang w:val="en-GB"/>
              </w:rPr>
            </w:pP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43B6A" w14:textId="77777777" w:rsidR="00436B8F" w:rsidRPr="002C2D5C" w:rsidRDefault="00436B8F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/>
                <w:iCs/>
                <w:sz w:val="20"/>
                <w:lang w:val="en-GB"/>
              </w:rPr>
              <w:t>Lunch Break</w:t>
            </w:r>
          </w:p>
        </w:tc>
      </w:tr>
      <w:tr w:rsidR="00436B8F" w:rsidRPr="00952597" w14:paraId="58D8A904" w14:textId="77777777" w:rsidTr="00B51EB8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F4ABC" w14:textId="2ABC9B72" w:rsidR="00436B8F" w:rsidRPr="002C2D5C" w:rsidRDefault="00436B8F" w:rsidP="00E07494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lastRenderedPageBreak/>
              <w:t>1</w:t>
            </w:r>
            <w:r w:rsidR="00B51EB8" w:rsidRPr="002C2D5C">
              <w:rPr>
                <w:rFonts w:ascii="Verdana" w:hAnsi="Verdana"/>
                <w:iCs/>
                <w:sz w:val="20"/>
                <w:lang w:val="en-GB"/>
              </w:rPr>
              <w:t>4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>h</w:t>
            </w:r>
            <w:r w:rsidR="00B51EB8" w:rsidRPr="002C2D5C">
              <w:rPr>
                <w:rFonts w:ascii="Verdana" w:hAnsi="Verdana"/>
                <w:iCs/>
                <w:sz w:val="20"/>
                <w:lang w:val="en-GB"/>
              </w:rPr>
              <w:t>0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0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 xml:space="preserve">– </w:t>
            </w:r>
            <w:r w:rsidR="000316D8" w:rsidRPr="002C2D5C">
              <w:rPr>
                <w:rFonts w:ascii="Verdana" w:hAnsi="Verdana"/>
                <w:bCs/>
                <w:sz w:val="20"/>
                <w:lang w:val="en-GB"/>
              </w:rPr>
              <w:t>1</w:t>
            </w:r>
            <w:r w:rsidR="00B51EB8" w:rsidRPr="002C2D5C">
              <w:rPr>
                <w:rFonts w:ascii="Verdana" w:hAnsi="Verdana"/>
                <w:bCs/>
                <w:sz w:val="20"/>
                <w:lang w:val="en-GB"/>
              </w:rPr>
              <w:t>6</w:t>
            </w:r>
            <w:r w:rsidR="000316D8" w:rsidRPr="002C2D5C">
              <w:rPr>
                <w:rFonts w:ascii="Verdana" w:hAnsi="Verdana"/>
                <w:bCs/>
                <w:sz w:val="20"/>
                <w:lang w:val="en-GB"/>
              </w:rPr>
              <w:t>h</w:t>
            </w:r>
            <w:r w:rsidR="00C24C97" w:rsidRPr="002C2D5C">
              <w:rPr>
                <w:rFonts w:ascii="Verdana" w:hAnsi="Verdana"/>
                <w:bCs/>
                <w:sz w:val="20"/>
                <w:lang w:val="en-GB"/>
              </w:rPr>
              <w:t>00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CA0D" w14:textId="7DE30A89" w:rsidR="00B1730E" w:rsidRPr="002C2D5C" w:rsidRDefault="00B1730E" w:rsidP="00B1730E">
            <w:pPr>
              <w:tabs>
                <w:tab w:val="left" w:pos="2700"/>
                <w:tab w:val="left" w:pos="3600"/>
              </w:tabs>
              <w:spacing w:after="120"/>
              <w:ind w:left="9" w:hanging="9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Discuss</w:t>
            </w:r>
            <w:r w:rsidR="00891A73" w:rsidRPr="002C2D5C">
              <w:rPr>
                <w:rFonts w:ascii="Verdana" w:hAnsi="Verdana"/>
                <w:b/>
                <w:bCs/>
                <w:sz w:val="20"/>
                <w:lang w:val="en-GB"/>
              </w:rPr>
              <w:t>i</w:t>
            </w: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on on key services sectors of particular interest to Guyana: how trade in these services is carried out; main trade/investment issues in this sector</w:t>
            </w:r>
            <w:r w:rsidR="00455388"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; </w:t>
            </w: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relevant</w:t>
            </w:r>
            <w:r w:rsidRPr="002C2D5C">
              <w:rPr>
                <w:lang w:val="en-GB"/>
              </w:rPr>
              <w:t xml:space="preserve"> </w:t>
            </w: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regulatory issues. </w:t>
            </w:r>
          </w:p>
          <w:p w14:paraId="4FAAA3B2" w14:textId="1CB12A4D" w:rsidR="00321F41" w:rsidRPr="00E324F2" w:rsidRDefault="00E324F2" w:rsidP="00891A73">
            <w:pPr>
              <w:pStyle w:val="ListParagraph"/>
              <w:numPr>
                <w:ilvl w:val="0"/>
                <w:numId w:val="21"/>
              </w:numPr>
              <w:tabs>
                <w:tab w:val="left" w:pos="2700"/>
                <w:tab w:val="left" w:pos="3600"/>
              </w:tabs>
              <w:spacing w:after="120"/>
              <w:rPr>
                <w:rStyle w:val="ui-provider"/>
                <w:b/>
                <w:bCs/>
                <w:sz w:val="20"/>
                <w:szCs w:val="20"/>
              </w:rPr>
            </w:pPr>
            <w:r w:rsidRPr="00E324F2">
              <w:rPr>
                <w:rStyle w:val="ui-provider"/>
                <w:b/>
                <w:bCs/>
                <w:sz w:val="20"/>
                <w:szCs w:val="20"/>
              </w:rPr>
              <w:t>P</w:t>
            </w:r>
            <w:r w:rsidR="00321F41" w:rsidRPr="00E324F2">
              <w:rPr>
                <w:rStyle w:val="ui-provider"/>
                <w:b/>
                <w:bCs/>
                <w:sz w:val="20"/>
                <w:szCs w:val="20"/>
              </w:rPr>
              <w:t>resentations by Guyana's authorities</w:t>
            </w:r>
            <w:r w:rsidRPr="00E324F2">
              <w:rPr>
                <w:rStyle w:val="ui-provider"/>
                <w:b/>
                <w:bCs/>
                <w:sz w:val="20"/>
                <w:szCs w:val="20"/>
              </w:rPr>
              <w:t xml:space="preserve">, followed by </w:t>
            </w:r>
            <w:proofErr w:type="gramStart"/>
            <w:r w:rsidRPr="00E324F2">
              <w:rPr>
                <w:rStyle w:val="ui-provider"/>
                <w:b/>
                <w:bCs/>
                <w:sz w:val="20"/>
                <w:szCs w:val="20"/>
              </w:rPr>
              <w:t>discussions</w:t>
            </w:r>
            <w:proofErr w:type="gramEnd"/>
            <w:r w:rsidR="00321F41" w:rsidRPr="00E324F2">
              <w:rPr>
                <w:rStyle w:val="ui-provider"/>
                <w:b/>
                <w:bCs/>
                <w:sz w:val="20"/>
                <w:szCs w:val="20"/>
              </w:rPr>
              <w:t xml:space="preserve"> </w:t>
            </w:r>
          </w:p>
          <w:p w14:paraId="4FED2CB3" w14:textId="77777777" w:rsidR="00436B8F" w:rsidRPr="002C2D5C" w:rsidRDefault="00436B8F" w:rsidP="00715D96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i/>
                <w:iCs/>
                <w:sz w:val="20"/>
                <w:lang w:val="en-GB"/>
              </w:rPr>
            </w:pPr>
          </w:p>
        </w:tc>
      </w:tr>
    </w:tbl>
    <w:p w14:paraId="24BB212A" w14:textId="29689920" w:rsidR="006711F2" w:rsidRPr="002C2D5C" w:rsidRDefault="006711F2" w:rsidP="00212E75">
      <w:pPr>
        <w:rPr>
          <w:rFonts w:ascii="Verdana" w:hAnsi="Verdana"/>
          <w:b/>
          <w:sz w:val="20"/>
          <w:u w:val="single"/>
          <w:lang w:val="en-GB"/>
        </w:rPr>
      </w:pPr>
    </w:p>
    <w:p w14:paraId="37934982" w14:textId="77777777" w:rsidR="009448E0" w:rsidRPr="002C2D5C" w:rsidRDefault="009448E0" w:rsidP="00212E75">
      <w:pPr>
        <w:rPr>
          <w:rFonts w:ascii="Verdana" w:hAnsi="Verdana"/>
          <w:b/>
          <w:sz w:val="20"/>
          <w:u w:val="single"/>
          <w:lang w:val="en-GB"/>
        </w:rPr>
      </w:pPr>
    </w:p>
    <w:p w14:paraId="6EA259D7" w14:textId="78F18F2D" w:rsidR="00AF572D" w:rsidRPr="002C2D5C" w:rsidRDefault="00334117" w:rsidP="00505DC5">
      <w:pPr>
        <w:keepNext/>
        <w:keepLines/>
        <w:rPr>
          <w:rFonts w:ascii="Verdana" w:hAnsi="Verdana"/>
          <w:b/>
          <w:sz w:val="20"/>
          <w:u w:val="single"/>
          <w:lang w:val="en-GB"/>
        </w:rPr>
      </w:pPr>
      <w:r>
        <w:rPr>
          <w:rFonts w:ascii="Verdana" w:hAnsi="Verdana"/>
          <w:b/>
          <w:sz w:val="20"/>
          <w:u w:val="single"/>
          <w:lang w:val="en-GB"/>
        </w:rPr>
        <w:t>Wednesday, 11 December</w:t>
      </w:r>
    </w:p>
    <w:p w14:paraId="655D72DB" w14:textId="77777777" w:rsidR="00AF572D" w:rsidRPr="002C2D5C" w:rsidRDefault="00AF572D" w:rsidP="00505DC5">
      <w:pPr>
        <w:keepNext/>
        <w:keepLines/>
        <w:rPr>
          <w:rFonts w:ascii="Verdana" w:hAnsi="Verdana"/>
          <w:b/>
          <w:sz w:val="20"/>
          <w:lang w:val="en-GB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00"/>
        <w:gridCol w:w="6426"/>
      </w:tblGrid>
      <w:tr w:rsidR="006156AC" w:rsidRPr="002C2D5C" w14:paraId="22D2336A" w14:textId="77777777" w:rsidTr="00D277E9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AA5E7" w14:textId="66E97852" w:rsidR="006156AC" w:rsidRPr="002C2D5C" w:rsidRDefault="006156AC" w:rsidP="00505DC5">
            <w:pPr>
              <w:keepNext/>
              <w:keepLines/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 xml:space="preserve">9h00 – </w:t>
            </w:r>
            <w:r w:rsidR="00D4028F" w:rsidRPr="002C2D5C">
              <w:rPr>
                <w:rFonts w:ascii="Verdana" w:hAnsi="Verdana"/>
                <w:sz w:val="20"/>
                <w:lang w:val="en-GB"/>
              </w:rPr>
              <w:t>10</w:t>
            </w:r>
            <w:r w:rsidR="00C24C97" w:rsidRPr="002C2D5C">
              <w:rPr>
                <w:rFonts w:ascii="Verdana" w:hAnsi="Verdana"/>
                <w:sz w:val="20"/>
                <w:lang w:val="en-GB"/>
              </w:rPr>
              <w:t>h30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5C21C" w14:textId="77777777" w:rsidR="00715D96" w:rsidRPr="002C2D5C" w:rsidRDefault="00715D96" w:rsidP="00505DC5">
            <w:pPr>
              <w:keepNext/>
              <w:keepLines/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Market access and regulatory commitments - Two complementary tools to facilitate trade in </w:t>
            </w:r>
            <w:proofErr w:type="gramStart"/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services</w:t>
            </w:r>
            <w:proofErr w:type="gramEnd"/>
          </w:p>
          <w:p w14:paraId="55526E4A" w14:textId="334D8275" w:rsidR="006D1CB9" w:rsidRPr="002C2D5C" w:rsidRDefault="00715D96" w:rsidP="00505DC5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left" w:pos="2700"/>
                <w:tab w:val="left" w:pos="3600"/>
              </w:tabs>
              <w:spacing w:after="60"/>
              <w:ind w:left="714" w:hanging="357"/>
              <w:contextualSpacing w:val="0"/>
              <w:rPr>
                <w:sz w:val="20"/>
              </w:rPr>
            </w:pPr>
            <w:r w:rsidRPr="002C2D5C">
              <w:rPr>
                <w:sz w:val="20"/>
              </w:rPr>
              <w:t>The WTO Disciplines on Services Domestic Regulation</w:t>
            </w:r>
          </w:p>
          <w:p w14:paraId="09D4B632" w14:textId="7CE0C0D4" w:rsidR="00715D96" w:rsidRPr="002C2D5C" w:rsidRDefault="006D1CB9" w:rsidP="00505DC5">
            <w:pPr>
              <w:pStyle w:val="ListParagraph"/>
              <w:keepNext/>
              <w:keepLines/>
              <w:numPr>
                <w:ilvl w:val="0"/>
                <w:numId w:val="16"/>
              </w:numPr>
              <w:tabs>
                <w:tab w:val="left" w:pos="2700"/>
                <w:tab w:val="left" w:pos="3600"/>
              </w:tabs>
              <w:ind w:left="714" w:hanging="357"/>
              <w:contextualSpacing w:val="0"/>
              <w:rPr>
                <w:sz w:val="20"/>
              </w:rPr>
            </w:pPr>
            <w:r w:rsidRPr="002C2D5C">
              <w:rPr>
                <w:sz w:val="20"/>
              </w:rPr>
              <w:t>Guyana's experience</w:t>
            </w:r>
            <w:r w:rsidR="00715D96" w:rsidRPr="002C2D5C">
              <w:rPr>
                <w:sz w:val="20"/>
              </w:rPr>
              <w:t xml:space="preserve"> </w:t>
            </w:r>
          </w:p>
          <w:p w14:paraId="0038EC69" w14:textId="0DAA296B" w:rsidR="00386943" w:rsidRPr="002C2D5C" w:rsidRDefault="00386943" w:rsidP="00505DC5">
            <w:pPr>
              <w:keepNext/>
              <w:keepLines/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sz w:val="20"/>
                <w:lang w:val="en-GB"/>
              </w:rPr>
            </w:pPr>
          </w:p>
        </w:tc>
      </w:tr>
      <w:tr w:rsidR="004C34C9" w:rsidRPr="002C2D5C" w14:paraId="1B5915FB" w14:textId="77777777" w:rsidTr="00D277E9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5CB7E" w14:textId="77777777" w:rsidR="00C24C97" w:rsidRPr="002C2D5C" w:rsidRDefault="00C24C97" w:rsidP="00950C61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>10h30 – 10h45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C657C" w14:textId="77777777" w:rsidR="00C24C97" w:rsidRPr="002C2D5C" w:rsidRDefault="00C24C97" w:rsidP="00950C61">
            <w:pPr>
              <w:rPr>
                <w:rFonts w:ascii="Verdana" w:hAnsi="Verdana"/>
                <w:bCs/>
                <w:i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bCs/>
                <w:i/>
                <w:iCs/>
                <w:sz w:val="20"/>
                <w:lang w:val="en-GB"/>
              </w:rPr>
              <w:t>Coffee Break</w:t>
            </w:r>
          </w:p>
          <w:p w14:paraId="49BE0F2D" w14:textId="77777777" w:rsidR="00C24C97" w:rsidRPr="002C2D5C" w:rsidRDefault="00C24C97" w:rsidP="00950C61">
            <w:pPr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4C76B3" w:rsidRPr="002C2D5C" w14:paraId="2102833F" w14:textId="77777777" w:rsidTr="00D277E9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4E66" w14:textId="7FB50D7B" w:rsidR="004C76B3" w:rsidRPr="002C2D5C" w:rsidRDefault="004C76B3" w:rsidP="001C5041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10h45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– 1</w:t>
            </w:r>
            <w:r w:rsidR="00D4028F" w:rsidRPr="002C2D5C">
              <w:rPr>
                <w:rFonts w:ascii="Verdana" w:hAnsi="Verdana"/>
                <w:bCs/>
                <w:sz w:val="20"/>
                <w:lang w:val="en-GB"/>
              </w:rPr>
              <w:t>2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h</w:t>
            </w:r>
            <w:r w:rsidR="00D4028F" w:rsidRPr="002C2D5C">
              <w:rPr>
                <w:rFonts w:ascii="Verdana" w:hAnsi="Verdana"/>
                <w:bCs/>
                <w:sz w:val="20"/>
                <w:lang w:val="en-GB"/>
              </w:rPr>
              <w:t>30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977D2" w14:textId="77777777" w:rsidR="00715D96" w:rsidRPr="002C2D5C" w:rsidRDefault="00715D96" w:rsidP="00715D96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Market access and regulatory commitments - Two complementary tools to facilitate trade in </w:t>
            </w:r>
            <w:proofErr w:type="gramStart"/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services</w:t>
            </w:r>
            <w:proofErr w:type="gramEnd"/>
          </w:p>
          <w:p w14:paraId="5F367EE4" w14:textId="183DDA03" w:rsidR="00715D96" w:rsidRPr="002C2D5C" w:rsidRDefault="00715D96" w:rsidP="00715D96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>(continued)</w:t>
            </w:r>
          </w:p>
          <w:p w14:paraId="1F26727A" w14:textId="2D020542" w:rsidR="00715D96" w:rsidRPr="002C2D5C" w:rsidRDefault="00715D96" w:rsidP="00715D96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  <w:lang w:val="en-GB"/>
              </w:rPr>
            </w:pPr>
          </w:p>
        </w:tc>
      </w:tr>
      <w:tr w:rsidR="00D277E9" w:rsidRPr="002C2D5C" w14:paraId="271893B5" w14:textId="77777777" w:rsidTr="00D277E9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88BF" w14:textId="7BC7B4A4" w:rsidR="00D277E9" w:rsidRPr="002C2D5C" w:rsidRDefault="00D277E9" w:rsidP="00E65421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12h30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–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 1</w:t>
            </w:r>
            <w:r w:rsidR="00D4028F" w:rsidRPr="002C2D5C">
              <w:rPr>
                <w:rFonts w:ascii="Verdana" w:hAnsi="Verdana"/>
                <w:iCs/>
                <w:sz w:val="20"/>
                <w:lang w:val="en-GB"/>
              </w:rPr>
              <w:t>4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>h</w:t>
            </w:r>
            <w:r w:rsidR="00D4028F" w:rsidRPr="002C2D5C">
              <w:rPr>
                <w:rFonts w:ascii="Verdana" w:hAnsi="Verdana"/>
                <w:iCs/>
                <w:sz w:val="20"/>
                <w:lang w:val="en-GB"/>
              </w:rPr>
              <w:t>0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>0</w:t>
            </w:r>
          </w:p>
          <w:p w14:paraId="3179D610" w14:textId="77777777" w:rsidR="00D277E9" w:rsidRPr="002C2D5C" w:rsidRDefault="00D277E9" w:rsidP="00E65421">
            <w:pPr>
              <w:rPr>
                <w:rFonts w:ascii="Verdana" w:hAnsi="Verdana"/>
                <w:bCs/>
                <w:sz w:val="20"/>
                <w:lang w:val="en-GB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5F303" w14:textId="77777777" w:rsidR="00D277E9" w:rsidRPr="002C2D5C" w:rsidRDefault="00D277E9" w:rsidP="00E65421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/>
                <w:iCs/>
                <w:sz w:val="20"/>
                <w:lang w:val="en-GB"/>
              </w:rPr>
              <w:t>Lunch Break</w:t>
            </w:r>
          </w:p>
        </w:tc>
      </w:tr>
      <w:tr w:rsidR="00D277E9" w:rsidRPr="002C2D5C" w14:paraId="1FCD0FA4" w14:textId="77777777" w:rsidTr="00D277E9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74385" w14:textId="17BA7B5E" w:rsidR="00D277E9" w:rsidRPr="002C2D5C" w:rsidRDefault="00D277E9" w:rsidP="00D277E9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t>1</w:t>
            </w:r>
            <w:r w:rsidR="00D4028F" w:rsidRPr="002C2D5C">
              <w:rPr>
                <w:rFonts w:ascii="Verdana" w:hAnsi="Verdana"/>
                <w:iCs/>
                <w:sz w:val="20"/>
                <w:lang w:val="en-GB"/>
              </w:rPr>
              <w:t>4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>h</w:t>
            </w:r>
            <w:r w:rsidR="00D4028F" w:rsidRPr="002C2D5C">
              <w:rPr>
                <w:rFonts w:ascii="Verdana" w:hAnsi="Verdana"/>
                <w:iCs/>
                <w:sz w:val="20"/>
                <w:lang w:val="en-GB"/>
              </w:rPr>
              <w:t>0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0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– 1</w:t>
            </w:r>
            <w:r w:rsidR="00D4028F" w:rsidRPr="002C2D5C">
              <w:rPr>
                <w:rFonts w:ascii="Verdana" w:hAnsi="Verdana"/>
                <w:bCs/>
                <w:sz w:val="20"/>
                <w:lang w:val="en-GB"/>
              </w:rPr>
              <w:t>6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h00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FD7DB" w14:textId="77777777" w:rsidR="00715D96" w:rsidRPr="002C2D5C" w:rsidRDefault="00715D96" w:rsidP="00715D96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Market access and regulatory commitments - Two complementary tools to facilitate trade in </w:t>
            </w:r>
            <w:proofErr w:type="gramStart"/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services</w:t>
            </w:r>
            <w:proofErr w:type="gramEnd"/>
          </w:p>
          <w:p w14:paraId="0910D3FC" w14:textId="0BE918E5" w:rsidR="00715D96" w:rsidRPr="002C2D5C" w:rsidRDefault="00715D96" w:rsidP="00505DC5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 xml:space="preserve">Exercise </w:t>
            </w:r>
          </w:p>
          <w:p w14:paraId="587F1ECA" w14:textId="1BDF2D22" w:rsidR="00D4028F" w:rsidRPr="002C2D5C" w:rsidRDefault="00715D96" w:rsidP="00D4028F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</w:tr>
    </w:tbl>
    <w:p w14:paraId="7662403D" w14:textId="77777777" w:rsidR="00334117" w:rsidRDefault="00334117" w:rsidP="00D8146E">
      <w:pPr>
        <w:rPr>
          <w:rFonts w:ascii="Verdana" w:hAnsi="Verdana"/>
          <w:b/>
          <w:sz w:val="20"/>
          <w:u w:val="single"/>
          <w:lang w:val="en-GB"/>
        </w:rPr>
      </w:pPr>
    </w:p>
    <w:p w14:paraId="0F1D5563" w14:textId="3E705463" w:rsidR="00D8146E" w:rsidRPr="002C2D5C" w:rsidRDefault="00334117" w:rsidP="00D8146E">
      <w:pPr>
        <w:rPr>
          <w:rFonts w:ascii="Verdana" w:hAnsi="Verdana"/>
          <w:b/>
          <w:sz w:val="20"/>
          <w:u w:val="single"/>
          <w:lang w:val="en-GB"/>
        </w:rPr>
      </w:pPr>
      <w:r>
        <w:rPr>
          <w:rFonts w:ascii="Verdana" w:hAnsi="Verdana"/>
          <w:b/>
          <w:sz w:val="20"/>
          <w:u w:val="single"/>
          <w:lang w:val="en-GB"/>
        </w:rPr>
        <w:t>Thursday, 12 December</w:t>
      </w:r>
    </w:p>
    <w:p w14:paraId="736175D4" w14:textId="77777777" w:rsidR="00D8146E" w:rsidRPr="002C2D5C" w:rsidRDefault="00D8146E" w:rsidP="00D8146E">
      <w:pPr>
        <w:rPr>
          <w:rFonts w:ascii="Verdana" w:hAnsi="Verdana"/>
          <w:b/>
          <w:sz w:val="20"/>
          <w:lang w:val="en-GB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00"/>
        <w:gridCol w:w="6426"/>
      </w:tblGrid>
      <w:tr w:rsidR="00D8146E" w:rsidRPr="00952597" w14:paraId="6F5F3FC3" w14:textId="77777777" w:rsidTr="00E04B2B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2F10" w14:textId="77777777" w:rsidR="00D8146E" w:rsidRPr="002C2D5C" w:rsidRDefault="00D8146E" w:rsidP="00E04B2B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>9h00 – 10h30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7DA58" w14:textId="3CE748B5" w:rsidR="00715D96" w:rsidRPr="002C2D5C" w:rsidRDefault="00715D96" w:rsidP="00776226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Investment Facilitation for Development</w:t>
            </w:r>
            <w:r w:rsidR="00DE7902"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 </w:t>
            </w:r>
            <w:r w:rsidR="00114E0E" w:rsidRPr="002C2D5C">
              <w:rPr>
                <w:rFonts w:ascii="Verdana" w:hAnsi="Verdana"/>
                <w:b/>
                <w:bCs/>
                <w:sz w:val="20"/>
                <w:lang w:val="en-GB"/>
              </w:rPr>
              <w:t>Agreement</w:t>
            </w:r>
          </w:p>
          <w:p w14:paraId="35883FDF" w14:textId="08834C9D" w:rsidR="00D8146E" w:rsidRPr="002C2D5C" w:rsidRDefault="00DE7902" w:rsidP="001542C1">
            <w:pPr>
              <w:pStyle w:val="ListParagraph"/>
              <w:numPr>
                <w:ilvl w:val="0"/>
                <w:numId w:val="18"/>
              </w:numPr>
              <w:tabs>
                <w:tab w:val="left" w:pos="2700"/>
                <w:tab w:val="left" w:pos="3600"/>
              </w:tabs>
              <w:spacing w:after="120"/>
              <w:ind w:left="714" w:hanging="357"/>
              <w:contextualSpacing w:val="0"/>
              <w:rPr>
                <w:sz w:val="20"/>
              </w:rPr>
            </w:pPr>
            <w:r w:rsidRPr="002C2D5C">
              <w:rPr>
                <w:sz w:val="20"/>
              </w:rPr>
              <w:t>Introduction</w:t>
            </w:r>
            <w:r w:rsidR="001542C1" w:rsidRPr="002C2D5C">
              <w:rPr>
                <w:sz w:val="20"/>
              </w:rPr>
              <w:t>:</w:t>
            </w:r>
            <w:r w:rsidRPr="002C2D5C">
              <w:rPr>
                <w:sz w:val="20"/>
              </w:rPr>
              <w:t xml:space="preserve"> importance of investment facilitation and retention; negotiations on I</w:t>
            </w:r>
            <w:r w:rsidR="00776226" w:rsidRPr="002C2D5C">
              <w:rPr>
                <w:sz w:val="20"/>
              </w:rPr>
              <w:t xml:space="preserve">nvestment </w:t>
            </w:r>
            <w:r w:rsidRPr="002C2D5C">
              <w:rPr>
                <w:sz w:val="20"/>
              </w:rPr>
              <w:t>F</w:t>
            </w:r>
            <w:r w:rsidR="00776226" w:rsidRPr="002C2D5C">
              <w:rPr>
                <w:sz w:val="20"/>
              </w:rPr>
              <w:t xml:space="preserve">acilitation for </w:t>
            </w:r>
            <w:r w:rsidRPr="002C2D5C">
              <w:rPr>
                <w:sz w:val="20"/>
              </w:rPr>
              <w:t>D</w:t>
            </w:r>
            <w:r w:rsidR="00776226" w:rsidRPr="002C2D5C">
              <w:rPr>
                <w:sz w:val="20"/>
              </w:rPr>
              <w:t>evelopment (IFD)</w:t>
            </w:r>
            <w:r w:rsidR="001542C1" w:rsidRPr="002C2D5C">
              <w:rPr>
                <w:sz w:val="20"/>
              </w:rPr>
              <w:t xml:space="preserve"> at the WTO</w:t>
            </w:r>
          </w:p>
          <w:p w14:paraId="100B3EDA" w14:textId="77777777" w:rsidR="001542C1" w:rsidRPr="002C2D5C" w:rsidRDefault="00DE7902" w:rsidP="001542C1">
            <w:pPr>
              <w:pStyle w:val="ListParagraph"/>
              <w:numPr>
                <w:ilvl w:val="0"/>
                <w:numId w:val="18"/>
              </w:numPr>
              <w:tabs>
                <w:tab w:val="left" w:pos="2700"/>
                <w:tab w:val="left" w:pos="3600"/>
              </w:tabs>
              <w:spacing w:after="120"/>
              <w:ind w:left="714" w:hanging="357"/>
              <w:contextualSpacing w:val="0"/>
              <w:rPr>
                <w:sz w:val="20"/>
              </w:rPr>
            </w:pPr>
            <w:r w:rsidRPr="002C2D5C">
              <w:rPr>
                <w:sz w:val="20"/>
              </w:rPr>
              <w:t>Overview of the IFD Agreement: objectives, structure, scope</w:t>
            </w:r>
            <w:r w:rsidR="001542C1" w:rsidRPr="002C2D5C">
              <w:rPr>
                <w:sz w:val="20"/>
              </w:rPr>
              <w:t xml:space="preserve"> &amp; definitions</w:t>
            </w:r>
          </w:p>
          <w:p w14:paraId="2EB4F672" w14:textId="2C1FD86B" w:rsidR="00DE7902" w:rsidRPr="002C2D5C" w:rsidRDefault="001542C1" w:rsidP="001542C1">
            <w:pPr>
              <w:pStyle w:val="ListParagraph"/>
              <w:numPr>
                <w:ilvl w:val="0"/>
                <w:numId w:val="18"/>
              </w:numPr>
              <w:tabs>
                <w:tab w:val="left" w:pos="2700"/>
                <w:tab w:val="left" w:pos="3600"/>
              </w:tabs>
              <w:spacing w:after="120"/>
              <w:ind w:left="714" w:hanging="357"/>
              <w:contextualSpacing w:val="0"/>
              <w:rPr>
                <w:sz w:val="20"/>
              </w:rPr>
            </w:pPr>
            <w:r w:rsidRPr="002C2D5C">
              <w:rPr>
                <w:sz w:val="20"/>
              </w:rPr>
              <w:t>Key sections and obligations: II. Transparency of investment measures; III. streamlining and good governance of investment authorization procedures</w:t>
            </w:r>
            <w:proofErr w:type="gramStart"/>
            <w:r w:rsidRPr="002C2D5C">
              <w:rPr>
                <w:sz w:val="20"/>
              </w:rPr>
              <w:t>;  IV.</w:t>
            </w:r>
            <w:proofErr w:type="gramEnd"/>
            <w:r w:rsidRPr="002C2D5C">
              <w:rPr>
                <w:sz w:val="20"/>
              </w:rPr>
              <w:t xml:space="preserve"> Focal points, domestic regulatory procedures and </w:t>
            </w:r>
            <w:proofErr w:type="gramStart"/>
            <w:r w:rsidRPr="002C2D5C">
              <w:rPr>
                <w:sz w:val="20"/>
              </w:rPr>
              <w:t>cooperation;  VI</w:t>
            </w:r>
            <w:proofErr w:type="gramEnd"/>
            <w:r w:rsidRPr="002C2D5C">
              <w:rPr>
                <w:sz w:val="20"/>
              </w:rPr>
              <w:t>. Sustainable investment.</w:t>
            </w:r>
          </w:p>
        </w:tc>
      </w:tr>
      <w:tr w:rsidR="00D8146E" w:rsidRPr="002C2D5C" w14:paraId="794CED20" w14:textId="77777777" w:rsidTr="00E04B2B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E1F91" w14:textId="77777777" w:rsidR="00D8146E" w:rsidRPr="002C2D5C" w:rsidRDefault="00D8146E" w:rsidP="00E04B2B">
            <w:pPr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>10h30 – 10h45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DBDBE" w14:textId="77777777" w:rsidR="00D8146E" w:rsidRPr="002C2D5C" w:rsidRDefault="00D8146E" w:rsidP="00E04B2B">
            <w:pPr>
              <w:rPr>
                <w:rFonts w:ascii="Verdana" w:hAnsi="Verdana"/>
                <w:bCs/>
                <w:i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bCs/>
                <w:i/>
                <w:iCs/>
                <w:sz w:val="20"/>
                <w:lang w:val="en-GB"/>
              </w:rPr>
              <w:t>Coffee Break</w:t>
            </w:r>
          </w:p>
          <w:p w14:paraId="5E54E11D" w14:textId="77777777" w:rsidR="00D8146E" w:rsidRPr="002C2D5C" w:rsidRDefault="00D8146E" w:rsidP="00E04B2B">
            <w:pPr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D8146E" w:rsidRPr="00952597" w14:paraId="5464B74B" w14:textId="77777777" w:rsidTr="00E04B2B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1E26F" w14:textId="77777777" w:rsidR="00D8146E" w:rsidRPr="002C2D5C" w:rsidRDefault="00D8146E" w:rsidP="00E04B2B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10h45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– 12h30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01DB0" w14:textId="15677459" w:rsidR="00715D96" w:rsidRPr="002C2D5C" w:rsidRDefault="00715D96" w:rsidP="00715D96">
            <w:pPr>
              <w:tabs>
                <w:tab w:val="left" w:pos="2700"/>
                <w:tab w:val="left" w:pos="3600"/>
              </w:tabs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>Investment Facilitation for Development</w:t>
            </w:r>
            <w:r w:rsidR="00776226"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 Agreement</w:t>
            </w: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 </w:t>
            </w:r>
          </w:p>
          <w:p w14:paraId="28FA0D5B" w14:textId="77777777" w:rsidR="00D8146E" w:rsidRPr="002C2D5C" w:rsidRDefault="00D8146E" w:rsidP="00715D96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  <w:lang w:val="en-GB"/>
              </w:rPr>
            </w:pPr>
          </w:p>
          <w:p w14:paraId="69F12264" w14:textId="77777777" w:rsidR="00715D96" w:rsidRPr="002C2D5C" w:rsidRDefault="00715D96" w:rsidP="00715D96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  <w:lang w:val="en-GB"/>
              </w:rPr>
            </w:pPr>
            <w:r w:rsidRPr="002C2D5C">
              <w:rPr>
                <w:rFonts w:ascii="Verdana" w:hAnsi="Verdana"/>
                <w:sz w:val="20"/>
                <w:lang w:val="en-GB"/>
              </w:rPr>
              <w:t>(continued)</w:t>
            </w:r>
          </w:p>
          <w:p w14:paraId="77535EB2" w14:textId="473165EE" w:rsidR="00715D96" w:rsidRPr="002C2D5C" w:rsidRDefault="00715D96" w:rsidP="00715D96">
            <w:pPr>
              <w:tabs>
                <w:tab w:val="left" w:pos="2700"/>
                <w:tab w:val="left" w:pos="3600"/>
              </w:tabs>
              <w:rPr>
                <w:rFonts w:ascii="Verdana" w:hAnsi="Verdana"/>
                <w:sz w:val="20"/>
                <w:lang w:val="en-GB"/>
              </w:rPr>
            </w:pPr>
          </w:p>
        </w:tc>
      </w:tr>
      <w:tr w:rsidR="00D8146E" w:rsidRPr="002C2D5C" w14:paraId="2E52805B" w14:textId="77777777" w:rsidTr="00E04B2B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88FFD" w14:textId="77777777" w:rsidR="00D8146E" w:rsidRPr="002C2D5C" w:rsidRDefault="00D8146E" w:rsidP="00E04B2B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12h30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–</w:t>
            </w: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 14h00</w:t>
            </w:r>
          </w:p>
          <w:p w14:paraId="2D18AB49" w14:textId="77777777" w:rsidR="00D8146E" w:rsidRPr="002C2D5C" w:rsidRDefault="00D8146E" w:rsidP="00E04B2B">
            <w:pPr>
              <w:rPr>
                <w:rFonts w:ascii="Verdana" w:hAnsi="Verdana"/>
                <w:bCs/>
                <w:sz w:val="20"/>
                <w:lang w:val="en-GB"/>
              </w:rPr>
            </w:pP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FE936" w14:textId="77777777" w:rsidR="00D8146E" w:rsidRPr="002C2D5C" w:rsidRDefault="00D8146E" w:rsidP="00E04B2B">
            <w:pPr>
              <w:tabs>
                <w:tab w:val="left" w:pos="2700"/>
                <w:tab w:val="left" w:pos="3600"/>
              </w:tabs>
              <w:ind w:left="9" w:hanging="9"/>
              <w:rPr>
                <w:rFonts w:ascii="Verdana" w:hAnsi="Verdana"/>
                <w:i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/>
                <w:iCs/>
                <w:sz w:val="20"/>
                <w:lang w:val="en-GB"/>
              </w:rPr>
              <w:lastRenderedPageBreak/>
              <w:t>Lunch Break</w:t>
            </w:r>
          </w:p>
        </w:tc>
      </w:tr>
      <w:tr w:rsidR="00D8146E" w:rsidRPr="002C2D5C" w14:paraId="70FE11EB" w14:textId="77777777" w:rsidTr="00E04B2B"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2DE54" w14:textId="77777777" w:rsidR="00D8146E" w:rsidRPr="002C2D5C" w:rsidRDefault="00D8146E" w:rsidP="00E04B2B">
            <w:pPr>
              <w:rPr>
                <w:rFonts w:ascii="Verdana" w:hAnsi="Verdana"/>
                <w:iCs/>
                <w:sz w:val="20"/>
                <w:lang w:val="en-GB"/>
              </w:rPr>
            </w:pPr>
            <w:r w:rsidRPr="002C2D5C">
              <w:rPr>
                <w:rFonts w:ascii="Verdana" w:hAnsi="Verdana"/>
                <w:iCs/>
                <w:sz w:val="20"/>
                <w:lang w:val="en-GB"/>
              </w:rPr>
              <w:t xml:space="preserve">14h00 </w:t>
            </w:r>
            <w:r w:rsidRPr="002C2D5C">
              <w:rPr>
                <w:rFonts w:ascii="Verdana" w:hAnsi="Verdana"/>
                <w:bCs/>
                <w:sz w:val="20"/>
                <w:lang w:val="en-GB"/>
              </w:rPr>
              <w:t>– 16h00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42811" w14:textId="31F15C3E" w:rsidR="00D8146E" w:rsidRPr="002C2D5C" w:rsidRDefault="00D8146E" w:rsidP="00776226">
            <w:pPr>
              <w:tabs>
                <w:tab w:val="left" w:pos="2700"/>
                <w:tab w:val="left" w:pos="3600"/>
              </w:tabs>
              <w:spacing w:after="120"/>
              <w:rPr>
                <w:rFonts w:ascii="Verdana" w:hAnsi="Verdana"/>
                <w:b/>
                <w:bCs/>
                <w:sz w:val="20"/>
                <w:lang w:val="en-GB"/>
              </w:rPr>
            </w:pPr>
            <w:r w:rsidRPr="002C2D5C">
              <w:rPr>
                <w:rFonts w:ascii="Verdana" w:hAnsi="Verdana"/>
                <w:b/>
                <w:bCs/>
                <w:sz w:val="20"/>
                <w:lang w:val="en-GB"/>
              </w:rPr>
              <w:t xml:space="preserve">Investment Facilitation for Development </w:t>
            </w:r>
          </w:p>
          <w:p w14:paraId="4EA271E6" w14:textId="2FF7EE03" w:rsidR="00505DC5" w:rsidRPr="002C2D5C" w:rsidRDefault="00505DC5" w:rsidP="00505DC5">
            <w:pPr>
              <w:pStyle w:val="ListParagraph"/>
              <w:numPr>
                <w:ilvl w:val="0"/>
                <w:numId w:val="19"/>
              </w:numPr>
              <w:tabs>
                <w:tab w:val="left" w:pos="2700"/>
                <w:tab w:val="left" w:pos="3600"/>
              </w:tabs>
              <w:spacing w:after="60"/>
              <w:ind w:left="714" w:hanging="357"/>
              <w:contextualSpacing w:val="0"/>
              <w:rPr>
                <w:sz w:val="20"/>
              </w:rPr>
            </w:pPr>
            <w:r w:rsidRPr="002C2D5C">
              <w:rPr>
                <w:sz w:val="20"/>
              </w:rPr>
              <w:t>Special and differential treatment</w:t>
            </w:r>
            <w:r w:rsidR="00776226" w:rsidRPr="002C2D5C">
              <w:rPr>
                <w:sz w:val="20"/>
              </w:rPr>
              <w:t xml:space="preserve"> as a key pillar of the IFD Agreement;</w:t>
            </w:r>
            <w:r w:rsidRPr="002C2D5C">
              <w:rPr>
                <w:sz w:val="20"/>
              </w:rPr>
              <w:t xml:space="preserve"> IFD needs </w:t>
            </w:r>
            <w:proofErr w:type="gramStart"/>
            <w:r w:rsidRPr="002C2D5C">
              <w:rPr>
                <w:sz w:val="20"/>
              </w:rPr>
              <w:t>assessments</w:t>
            </w:r>
            <w:proofErr w:type="gramEnd"/>
          </w:p>
          <w:p w14:paraId="21BEDBA8" w14:textId="2A4FB368" w:rsidR="001542C1" w:rsidRPr="002C2D5C" w:rsidRDefault="001542C1" w:rsidP="00505DC5">
            <w:pPr>
              <w:pStyle w:val="ListParagraph"/>
              <w:numPr>
                <w:ilvl w:val="0"/>
                <w:numId w:val="19"/>
              </w:numPr>
              <w:tabs>
                <w:tab w:val="left" w:pos="2700"/>
                <w:tab w:val="left" w:pos="3600"/>
              </w:tabs>
              <w:spacing w:after="60"/>
              <w:ind w:left="714" w:hanging="357"/>
              <w:contextualSpacing w:val="0"/>
              <w:rPr>
                <w:sz w:val="20"/>
              </w:rPr>
            </w:pPr>
            <w:r w:rsidRPr="002C2D5C">
              <w:rPr>
                <w:sz w:val="20"/>
              </w:rPr>
              <w:t>Latest state-of-play regarding the incorporation of the IFD Agreement into the WTO</w:t>
            </w:r>
          </w:p>
          <w:p w14:paraId="18336463" w14:textId="3A31C0D1" w:rsidR="00D8146E" w:rsidRPr="002C2D5C" w:rsidRDefault="001542C1" w:rsidP="00505DC5">
            <w:pPr>
              <w:pStyle w:val="ListParagraph"/>
              <w:numPr>
                <w:ilvl w:val="0"/>
                <w:numId w:val="19"/>
              </w:numPr>
              <w:tabs>
                <w:tab w:val="left" w:pos="2700"/>
                <w:tab w:val="left" w:pos="3600"/>
              </w:tabs>
              <w:spacing w:after="60"/>
              <w:ind w:left="714" w:hanging="357"/>
              <w:contextualSpacing w:val="0"/>
              <w:rPr>
                <w:sz w:val="20"/>
              </w:rPr>
            </w:pPr>
            <w:r w:rsidRPr="002C2D5C">
              <w:rPr>
                <w:sz w:val="20"/>
              </w:rPr>
              <w:t>Short e</w:t>
            </w:r>
            <w:r w:rsidR="00715D96" w:rsidRPr="002C2D5C">
              <w:rPr>
                <w:sz w:val="20"/>
              </w:rPr>
              <w:t>xercise</w:t>
            </w:r>
            <w:r w:rsidRPr="002C2D5C">
              <w:rPr>
                <w:sz w:val="20"/>
              </w:rPr>
              <w:t>, group discussion</w:t>
            </w:r>
          </w:p>
          <w:p w14:paraId="0A12095E" w14:textId="6B7385AC" w:rsidR="001542C1" w:rsidRPr="002C2D5C" w:rsidRDefault="001542C1" w:rsidP="001542C1">
            <w:pPr>
              <w:pStyle w:val="ListParagraph"/>
              <w:numPr>
                <w:ilvl w:val="0"/>
                <w:numId w:val="19"/>
              </w:numPr>
              <w:tabs>
                <w:tab w:val="left" w:pos="2700"/>
                <w:tab w:val="left" w:pos="3600"/>
              </w:tabs>
              <w:rPr>
                <w:sz w:val="20"/>
              </w:rPr>
            </w:pPr>
            <w:r w:rsidRPr="002C2D5C">
              <w:rPr>
                <w:sz w:val="20"/>
              </w:rPr>
              <w:t>Key take-aways</w:t>
            </w:r>
          </w:p>
        </w:tc>
      </w:tr>
    </w:tbl>
    <w:p w14:paraId="1B76A94E" w14:textId="35720553" w:rsidR="004004F1" w:rsidRPr="002C2D5C" w:rsidRDefault="003A4095" w:rsidP="00BC5E02">
      <w:pPr>
        <w:jc w:val="center"/>
        <w:rPr>
          <w:rFonts w:ascii="Verdana" w:hAnsi="Verdana"/>
          <w:b/>
          <w:sz w:val="20"/>
          <w:lang w:val="en-GB"/>
        </w:rPr>
      </w:pPr>
      <w:r w:rsidRPr="002C2D5C">
        <w:rPr>
          <w:rFonts w:ascii="Verdana" w:hAnsi="Verdana"/>
          <w:sz w:val="20"/>
          <w:lang w:val="en-GB"/>
        </w:rPr>
        <w:t>_________</w:t>
      </w:r>
    </w:p>
    <w:sectPr w:rsidR="004004F1" w:rsidRPr="002C2D5C" w:rsidSect="005B63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2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DF31" w14:textId="77777777" w:rsidR="00535D4A" w:rsidRDefault="00535D4A">
      <w:r>
        <w:separator/>
      </w:r>
    </w:p>
  </w:endnote>
  <w:endnote w:type="continuationSeparator" w:id="0">
    <w:p w14:paraId="3E14BF9C" w14:textId="77777777" w:rsidR="00535D4A" w:rsidRDefault="0053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42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27839" w14:textId="11B3CB0E" w:rsidR="00E93C74" w:rsidRDefault="00E93C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43BB0" w14:textId="77777777" w:rsidR="00E93C74" w:rsidRDefault="00E93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655A" w14:textId="77777777" w:rsidR="00DB081B" w:rsidRDefault="00DB081B" w:rsidP="003D45FE">
    <w:pPr>
      <w:pStyle w:val="Footer"/>
      <w:jc w:val="right"/>
    </w:pPr>
    <w:r>
      <w:t>. 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EA58" w14:textId="77777777" w:rsidR="00535D4A" w:rsidRDefault="00535D4A">
      <w:r>
        <w:separator/>
      </w:r>
    </w:p>
  </w:footnote>
  <w:footnote w:type="continuationSeparator" w:id="0">
    <w:p w14:paraId="18AA3423" w14:textId="77777777" w:rsidR="00535D4A" w:rsidRDefault="0053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F860" w14:textId="77777777" w:rsidR="00DB081B" w:rsidRDefault="00DB081B">
    <w:pPr>
      <w:pStyle w:val="Header"/>
      <w:jc w:val="center"/>
      <w:rPr>
        <w:rStyle w:val="PageNumber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52EC20B7" w14:textId="77777777" w:rsidR="00DB081B" w:rsidRDefault="00DB081B">
    <w:pPr>
      <w:pStyle w:val="Header"/>
      <w:jc w:val="center"/>
      <w:rPr>
        <w:rStyle w:val="PageNumber"/>
      </w:rPr>
    </w:pPr>
  </w:p>
  <w:p w14:paraId="47AFDBE8" w14:textId="77777777" w:rsidR="00DB081B" w:rsidRDefault="00DB081B">
    <w:pPr>
      <w:pStyle w:val="Header"/>
      <w:jc w:val="cent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6E75" w14:textId="7DD9F7D1" w:rsidR="00DB081B" w:rsidRDefault="00BC5E02">
    <w:pPr>
      <w:pStyle w:val="Header"/>
      <w:rPr>
        <w:lang w:val="fr-CH"/>
      </w:rPr>
    </w:pPr>
    <w:r>
      <w:rPr>
        <w:noProof/>
      </w:rPr>
      <w:drawing>
        <wp:inline distT="0" distB="0" distL="0" distR="0" wp14:anchorId="7E032EB9" wp14:editId="765D8C3D">
          <wp:extent cx="3584575" cy="789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B7D78E4"/>
    <w:multiLevelType w:val="hybridMultilevel"/>
    <w:tmpl w:val="2226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72F"/>
    <w:multiLevelType w:val="hybridMultilevel"/>
    <w:tmpl w:val="3890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E212E"/>
    <w:multiLevelType w:val="hybridMultilevel"/>
    <w:tmpl w:val="529A5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BE4"/>
    <w:multiLevelType w:val="hybridMultilevel"/>
    <w:tmpl w:val="1C94A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3C5D"/>
    <w:multiLevelType w:val="singleLevel"/>
    <w:tmpl w:val="DEA28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1D852BC4"/>
    <w:multiLevelType w:val="hybridMultilevel"/>
    <w:tmpl w:val="684A6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99444B3"/>
    <w:multiLevelType w:val="hybridMultilevel"/>
    <w:tmpl w:val="B9D2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945D0"/>
    <w:multiLevelType w:val="hybridMultilevel"/>
    <w:tmpl w:val="FF9C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7ECB"/>
    <w:multiLevelType w:val="hybridMultilevel"/>
    <w:tmpl w:val="2E24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3CF24CDC"/>
    <w:multiLevelType w:val="hybridMultilevel"/>
    <w:tmpl w:val="95B0F24C"/>
    <w:lvl w:ilvl="0" w:tplc="0809000B">
      <w:start w:val="1"/>
      <w:numFmt w:val="bullet"/>
      <w:lvlText w:val="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3EB151DD"/>
    <w:multiLevelType w:val="hybridMultilevel"/>
    <w:tmpl w:val="C47E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90EE9"/>
    <w:multiLevelType w:val="hybridMultilevel"/>
    <w:tmpl w:val="40CAED50"/>
    <w:lvl w:ilvl="0" w:tplc="D1FE7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0AA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A4FF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46D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F288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EE5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BC0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AE8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A2A1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1B000C6"/>
    <w:multiLevelType w:val="hybridMultilevel"/>
    <w:tmpl w:val="80E0BA7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06256"/>
    <w:multiLevelType w:val="hybridMultilevel"/>
    <w:tmpl w:val="B310108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5C12591D"/>
    <w:multiLevelType w:val="hybridMultilevel"/>
    <w:tmpl w:val="F72E420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1E7244F"/>
    <w:multiLevelType w:val="hybridMultilevel"/>
    <w:tmpl w:val="54FE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53025"/>
    <w:multiLevelType w:val="hybridMultilevel"/>
    <w:tmpl w:val="8A58F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D5864"/>
    <w:multiLevelType w:val="hybridMultilevel"/>
    <w:tmpl w:val="1DBC12B0"/>
    <w:lvl w:ilvl="0" w:tplc="B2CE1DB6"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D756607"/>
    <w:multiLevelType w:val="hybridMultilevel"/>
    <w:tmpl w:val="F086CEDC"/>
    <w:lvl w:ilvl="0" w:tplc="4BEE7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174233">
    <w:abstractNumId w:val="13"/>
  </w:num>
  <w:num w:numId="2" w16cid:durableId="1282766716">
    <w:abstractNumId w:val="9"/>
  </w:num>
  <w:num w:numId="3" w16cid:durableId="520165042">
    <w:abstractNumId w:val="2"/>
  </w:num>
  <w:num w:numId="4" w16cid:durableId="1420709948">
    <w:abstractNumId w:val="1"/>
  </w:num>
  <w:num w:numId="5" w16cid:durableId="1393968066">
    <w:abstractNumId w:val="0"/>
  </w:num>
  <w:num w:numId="6" w16cid:durableId="644702763">
    <w:abstractNumId w:val="7"/>
  </w:num>
  <w:num w:numId="7" w16cid:durableId="1583447875">
    <w:abstractNumId w:val="18"/>
  </w:num>
  <w:num w:numId="8" w16cid:durableId="1977224708">
    <w:abstractNumId w:val="17"/>
  </w:num>
  <w:num w:numId="9" w16cid:durableId="1520850137">
    <w:abstractNumId w:val="15"/>
  </w:num>
  <w:num w:numId="10" w16cid:durableId="2062820252">
    <w:abstractNumId w:val="14"/>
  </w:num>
  <w:num w:numId="11" w16cid:durableId="1936357533">
    <w:abstractNumId w:val="20"/>
  </w:num>
  <w:num w:numId="12" w16cid:durableId="1637679521">
    <w:abstractNumId w:val="8"/>
  </w:num>
  <w:num w:numId="13" w16cid:durableId="766540384">
    <w:abstractNumId w:val="6"/>
  </w:num>
  <w:num w:numId="14" w16cid:durableId="842941249">
    <w:abstractNumId w:val="19"/>
  </w:num>
  <w:num w:numId="15" w16cid:durableId="479274987">
    <w:abstractNumId w:val="3"/>
  </w:num>
  <w:num w:numId="16" w16cid:durableId="1906605919">
    <w:abstractNumId w:val="11"/>
  </w:num>
  <w:num w:numId="17" w16cid:durableId="1961377286">
    <w:abstractNumId w:val="16"/>
  </w:num>
  <w:num w:numId="18" w16cid:durableId="1917393081">
    <w:abstractNumId w:val="12"/>
  </w:num>
  <w:num w:numId="19" w16cid:durableId="394624889">
    <w:abstractNumId w:val="5"/>
  </w:num>
  <w:num w:numId="20" w16cid:durableId="1885630891">
    <w:abstractNumId w:val="4"/>
  </w:num>
  <w:num w:numId="21" w16cid:durableId="32703700">
    <w:abstractNumId w:val="21"/>
  </w:num>
  <w:num w:numId="22" w16cid:durableId="1929458466">
    <w:abstractNumId w:val="23"/>
  </w:num>
  <w:num w:numId="23" w16cid:durableId="883326666">
    <w:abstractNumId w:val="22"/>
  </w:num>
  <w:num w:numId="24" w16cid:durableId="133989163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6"/>
    <w:rsid w:val="00003921"/>
    <w:rsid w:val="000159F2"/>
    <w:rsid w:val="000316D8"/>
    <w:rsid w:val="00035C31"/>
    <w:rsid w:val="00041CBF"/>
    <w:rsid w:val="00051B49"/>
    <w:rsid w:val="000639B6"/>
    <w:rsid w:val="00070B79"/>
    <w:rsid w:val="0007371E"/>
    <w:rsid w:val="00093842"/>
    <w:rsid w:val="000A2C7D"/>
    <w:rsid w:val="000B2CE3"/>
    <w:rsid w:val="000B3766"/>
    <w:rsid w:val="000C574B"/>
    <w:rsid w:val="000D2526"/>
    <w:rsid w:val="000D7B15"/>
    <w:rsid w:val="000E2B4D"/>
    <w:rsid w:val="000F2926"/>
    <w:rsid w:val="00101508"/>
    <w:rsid w:val="00114D2D"/>
    <w:rsid w:val="00114E0E"/>
    <w:rsid w:val="00117C4D"/>
    <w:rsid w:val="001230BC"/>
    <w:rsid w:val="00131657"/>
    <w:rsid w:val="00132B2F"/>
    <w:rsid w:val="001542C1"/>
    <w:rsid w:val="0015453A"/>
    <w:rsid w:val="0016262D"/>
    <w:rsid w:val="001632D5"/>
    <w:rsid w:val="00183781"/>
    <w:rsid w:val="001A6AFB"/>
    <w:rsid w:val="001B268E"/>
    <w:rsid w:val="001E406C"/>
    <w:rsid w:val="001E5FA3"/>
    <w:rsid w:val="00202522"/>
    <w:rsid w:val="00203BE4"/>
    <w:rsid w:val="002044F7"/>
    <w:rsid w:val="002069AD"/>
    <w:rsid w:val="00212E75"/>
    <w:rsid w:val="00230D77"/>
    <w:rsid w:val="00237FDF"/>
    <w:rsid w:val="00252222"/>
    <w:rsid w:val="0025368A"/>
    <w:rsid w:val="002630AD"/>
    <w:rsid w:val="00276D8C"/>
    <w:rsid w:val="00281D56"/>
    <w:rsid w:val="0028617A"/>
    <w:rsid w:val="00294FD2"/>
    <w:rsid w:val="002A2866"/>
    <w:rsid w:val="002B2FB3"/>
    <w:rsid w:val="002C2590"/>
    <w:rsid w:val="002C2D5C"/>
    <w:rsid w:val="002D379F"/>
    <w:rsid w:val="002D5CE9"/>
    <w:rsid w:val="00303B71"/>
    <w:rsid w:val="00307713"/>
    <w:rsid w:val="00321F41"/>
    <w:rsid w:val="00323FA7"/>
    <w:rsid w:val="00333C85"/>
    <w:rsid w:val="00334117"/>
    <w:rsid w:val="003361FA"/>
    <w:rsid w:val="00340662"/>
    <w:rsid w:val="00347C8F"/>
    <w:rsid w:val="00367068"/>
    <w:rsid w:val="00371CE9"/>
    <w:rsid w:val="00382B0C"/>
    <w:rsid w:val="00386758"/>
    <w:rsid w:val="00386943"/>
    <w:rsid w:val="00386E76"/>
    <w:rsid w:val="0039024C"/>
    <w:rsid w:val="00391FAE"/>
    <w:rsid w:val="003A39FE"/>
    <w:rsid w:val="003A4095"/>
    <w:rsid w:val="003A5136"/>
    <w:rsid w:val="003A5D31"/>
    <w:rsid w:val="003B30C5"/>
    <w:rsid w:val="003C6C93"/>
    <w:rsid w:val="003D0C0D"/>
    <w:rsid w:val="003D3AE4"/>
    <w:rsid w:val="003D45FE"/>
    <w:rsid w:val="003E1CCA"/>
    <w:rsid w:val="003F4696"/>
    <w:rsid w:val="003F5B02"/>
    <w:rsid w:val="004004F1"/>
    <w:rsid w:val="00403714"/>
    <w:rsid w:val="0041547A"/>
    <w:rsid w:val="00417388"/>
    <w:rsid w:val="0043025E"/>
    <w:rsid w:val="00435F3F"/>
    <w:rsid w:val="00436B8F"/>
    <w:rsid w:val="00444A88"/>
    <w:rsid w:val="00455388"/>
    <w:rsid w:val="00461BFC"/>
    <w:rsid w:val="0047647A"/>
    <w:rsid w:val="004811CE"/>
    <w:rsid w:val="00481B87"/>
    <w:rsid w:val="00487933"/>
    <w:rsid w:val="004930D4"/>
    <w:rsid w:val="004A4C2A"/>
    <w:rsid w:val="004C10E3"/>
    <w:rsid w:val="004C1D64"/>
    <w:rsid w:val="004C2A4F"/>
    <w:rsid w:val="004C34C9"/>
    <w:rsid w:val="004C76B3"/>
    <w:rsid w:val="004D3951"/>
    <w:rsid w:val="004E586B"/>
    <w:rsid w:val="004E602E"/>
    <w:rsid w:val="004F3A89"/>
    <w:rsid w:val="00505DC5"/>
    <w:rsid w:val="005111DB"/>
    <w:rsid w:val="005140ED"/>
    <w:rsid w:val="00526F3F"/>
    <w:rsid w:val="00535852"/>
    <w:rsid w:val="00535D4A"/>
    <w:rsid w:val="0054405E"/>
    <w:rsid w:val="005533BF"/>
    <w:rsid w:val="005568EF"/>
    <w:rsid w:val="00573F36"/>
    <w:rsid w:val="00582FAD"/>
    <w:rsid w:val="00584014"/>
    <w:rsid w:val="0058635C"/>
    <w:rsid w:val="005A6D6F"/>
    <w:rsid w:val="005B2105"/>
    <w:rsid w:val="005B63C6"/>
    <w:rsid w:val="005C1816"/>
    <w:rsid w:val="005D0E35"/>
    <w:rsid w:val="005D2F55"/>
    <w:rsid w:val="005E3E79"/>
    <w:rsid w:val="005F36A4"/>
    <w:rsid w:val="005F3D66"/>
    <w:rsid w:val="00601D2D"/>
    <w:rsid w:val="00604D43"/>
    <w:rsid w:val="006067C2"/>
    <w:rsid w:val="006156AC"/>
    <w:rsid w:val="00625B6F"/>
    <w:rsid w:val="0063662B"/>
    <w:rsid w:val="00640E10"/>
    <w:rsid w:val="006429C1"/>
    <w:rsid w:val="00647670"/>
    <w:rsid w:val="00654B66"/>
    <w:rsid w:val="00665675"/>
    <w:rsid w:val="006711F2"/>
    <w:rsid w:val="00673242"/>
    <w:rsid w:val="0068271A"/>
    <w:rsid w:val="006924EF"/>
    <w:rsid w:val="006949E0"/>
    <w:rsid w:val="006A0751"/>
    <w:rsid w:val="006A4BCB"/>
    <w:rsid w:val="006B1FED"/>
    <w:rsid w:val="006B6A5E"/>
    <w:rsid w:val="006C02EF"/>
    <w:rsid w:val="006D1CB9"/>
    <w:rsid w:val="006D4FC7"/>
    <w:rsid w:val="006E3073"/>
    <w:rsid w:val="006F41C3"/>
    <w:rsid w:val="006F585B"/>
    <w:rsid w:val="006F5DCF"/>
    <w:rsid w:val="00715D96"/>
    <w:rsid w:val="007225BB"/>
    <w:rsid w:val="007259BD"/>
    <w:rsid w:val="007263AA"/>
    <w:rsid w:val="00733A6A"/>
    <w:rsid w:val="00741B8A"/>
    <w:rsid w:val="0074353F"/>
    <w:rsid w:val="00750AF1"/>
    <w:rsid w:val="00755BA6"/>
    <w:rsid w:val="00776226"/>
    <w:rsid w:val="007825B5"/>
    <w:rsid w:val="0079490F"/>
    <w:rsid w:val="00794F90"/>
    <w:rsid w:val="007A7CC0"/>
    <w:rsid w:val="007B181F"/>
    <w:rsid w:val="007B19C9"/>
    <w:rsid w:val="007B50C4"/>
    <w:rsid w:val="007C18AD"/>
    <w:rsid w:val="007C1B1E"/>
    <w:rsid w:val="007C560A"/>
    <w:rsid w:val="007D708C"/>
    <w:rsid w:val="007E3BB3"/>
    <w:rsid w:val="007E7153"/>
    <w:rsid w:val="007E74B3"/>
    <w:rsid w:val="00806B49"/>
    <w:rsid w:val="008208BF"/>
    <w:rsid w:val="00824244"/>
    <w:rsid w:val="00835F43"/>
    <w:rsid w:val="008551DE"/>
    <w:rsid w:val="008665C4"/>
    <w:rsid w:val="00881E86"/>
    <w:rsid w:val="00891A73"/>
    <w:rsid w:val="00892E0A"/>
    <w:rsid w:val="00895A50"/>
    <w:rsid w:val="0089731B"/>
    <w:rsid w:val="00897447"/>
    <w:rsid w:val="008A0067"/>
    <w:rsid w:val="008B1A7D"/>
    <w:rsid w:val="008C3AEB"/>
    <w:rsid w:val="008D0C07"/>
    <w:rsid w:val="008F0619"/>
    <w:rsid w:val="008F2190"/>
    <w:rsid w:val="00910490"/>
    <w:rsid w:val="009147D8"/>
    <w:rsid w:val="009229C8"/>
    <w:rsid w:val="00927087"/>
    <w:rsid w:val="00932B85"/>
    <w:rsid w:val="009448E0"/>
    <w:rsid w:val="00952597"/>
    <w:rsid w:val="00953DC3"/>
    <w:rsid w:val="00982657"/>
    <w:rsid w:val="00984B9A"/>
    <w:rsid w:val="00995A9D"/>
    <w:rsid w:val="009A1381"/>
    <w:rsid w:val="009A31FF"/>
    <w:rsid w:val="009A7B66"/>
    <w:rsid w:val="009D02EF"/>
    <w:rsid w:val="009D1F5B"/>
    <w:rsid w:val="009D6016"/>
    <w:rsid w:val="009D7B84"/>
    <w:rsid w:val="009E3360"/>
    <w:rsid w:val="009E7C4A"/>
    <w:rsid w:val="009F4709"/>
    <w:rsid w:val="00A00155"/>
    <w:rsid w:val="00A170BB"/>
    <w:rsid w:val="00A41528"/>
    <w:rsid w:val="00A75163"/>
    <w:rsid w:val="00AA3379"/>
    <w:rsid w:val="00AB3ED9"/>
    <w:rsid w:val="00AB7DF1"/>
    <w:rsid w:val="00AC6F51"/>
    <w:rsid w:val="00AC7174"/>
    <w:rsid w:val="00AD5921"/>
    <w:rsid w:val="00AE42DD"/>
    <w:rsid w:val="00AE4455"/>
    <w:rsid w:val="00AE74AF"/>
    <w:rsid w:val="00AF15D6"/>
    <w:rsid w:val="00AF239B"/>
    <w:rsid w:val="00AF572D"/>
    <w:rsid w:val="00B07A48"/>
    <w:rsid w:val="00B1001F"/>
    <w:rsid w:val="00B105E6"/>
    <w:rsid w:val="00B140E0"/>
    <w:rsid w:val="00B157E1"/>
    <w:rsid w:val="00B160F7"/>
    <w:rsid w:val="00B16CDF"/>
    <w:rsid w:val="00B1730E"/>
    <w:rsid w:val="00B216E5"/>
    <w:rsid w:val="00B51EB8"/>
    <w:rsid w:val="00B6747A"/>
    <w:rsid w:val="00B70CE3"/>
    <w:rsid w:val="00B928E0"/>
    <w:rsid w:val="00B92CDF"/>
    <w:rsid w:val="00BA1184"/>
    <w:rsid w:val="00BA7997"/>
    <w:rsid w:val="00BC5E02"/>
    <w:rsid w:val="00BC6F4A"/>
    <w:rsid w:val="00BF2B48"/>
    <w:rsid w:val="00C0474F"/>
    <w:rsid w:val="00C12B77"/>
    <w:rsid w:val="00C24C97"/>
    <w:rsid w:val="00C36CF2"/>
    <w:rsid w:val="00C36F3D"/>
    <w:rsid w:val="00C45E06"/>
    <w:rsid w:val="00C54BED"/>
    <w:rsid w:val="00C55297"/>
    <w:rsid w:val="00C55F5E"/>
    <w:rsid w:val="00C74FA9"/>
    <w:rsid w:val="00C970FD"/>
    <w:rsid w:val="00CA30F6"/>
    <w:rsid w:val="00CB5BA0"/>
    <w:rsid w:val="00CC32FE"/>
    <w:rsid w:val="00CE5BAE"/>
    <w:rsid w:val="00CE5EAD"/>
    <w:rsid w:val="00D04478"/>
    <w:rsid w:val="00D06254"/>
    <w:rsid w:val="00D277E9"/>
    <w:rsid w:val="00D4028F"/>
    <w:rsid w:val="00D404F7"/>
    <w:rsid w:val="00D538A9"/>
    <w:rsid w:val="00D6285A"/>
    <w:rsid w:val="00D64663"/>
    <w:rsid w:val="00D658C9"/>
    <w:rsid w:val="00D7065F"/>
    <w:rsid w:val="00D73C08"/>
    <w:rsid w:val="00D7652A"/>
    <w:rsid w:val="00D8146E"/>
    <w:rsid w:val="00D81A19"/>
    <w:rsid w:val="00D920E6"/>
    <w:rsid w:val="00DB081B"/>
    <w:rsid w:val="00DB2F09"/>
    <w:rsid w:val="00DB544A"/>
    <w:rsid w:val="00DD049A"/>
    <w:rsid w:val="00DD3330"/>
    <w:rsid w:val="00DD40D2"/>
    <w:rsid w:val="00DE48C9"/>
    <w:rsid w:val="00DE7902"/>
    <w:rsid w:val="00DF0DCE"/>
    <w:rsid w:val="00E00B0F"/>
    <w:rsid w:val="00E151B5"/>
    <w:rsid w:val="00E158E1"/>
    <w:rsid w:val="00E15FF0"/>
    <w:rsid w:val="00E324F2"/>
    <w:rsid w:val="00E37126"/>
    <w:rsid w:val="00E443B2"/>
    <w:rsid w:val="00E5313D"/>
    <w:rsid w:val="00E66C19"/>
    <w:rsid w:val="00E70138"/>
    <w:rsid w:val="00E834AF"/>
    <w:rsid w:val="00E864EE"/>
    <w:rsid w:val="00E93C74"/>
    <w:rsid w:val="00EA3762"/>
    <w:rsid w:val="00EB756E"/>
    <w:rsid w:val="00EC4138"/>
    <w:rsid w:val="00EC6835"/>
    <w:rsid w:val="00ED023D"/>
    <w:rsid w:val="00ED13A4"/>
    <w:rsid w:val="00EF276A"/>
    <w:rsid w:val="00F346A1"/>
    <w:rsid w:val="00F428DE"/>
    <w:rsid w:val="00F509A4"/>
    <w:rsid w:val="00F51A0F"/>
    <w:rsid w:val="00F51B0C"/>
    <w:rsid w:val="00F54BC2"/>
    <w:rsid w:val="00F604B1"/>
    <w:rsid w:val="00F749F6"/>
    <w:rsid w:val="00F75347"/>
    <w:rsid w:val="00FC0816"/>
    <w:rsid w:val="00FC0FE6"/>
    <w:rsid w:val="00FC33A1"/>
    <w:rsid w:val="00FC3E52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A51DC"/>
  <w15:chartTrackingRefBased/>
  <w15:docId w15:val="{928F9F1E-11AA-4209-BFCC-CF9B329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89"/>
    <w:pPr>
      <w:tabs>
        <w:tab w:val="left" w:pos="720"/>
      </w:tabs>
      <w:jc w:val="both"/>
    </w:pPr>
    <w:rPr>
      <w:sz w:val="22"/>
      <w:lang w:val="fr-FR"/>
    </w:rPr>
  </w:style>
  <w:style w:type="paragraph" w:styleId="Heading1">
    <w:name w:val="heading 1"/>
    <w:basedOn w:val="Normal"/>
    <w:next w:val="Heading2"/>
    <w:qFormat/>
    <w:rsid w:val="00DE48C9"/>
    <w:pPr>
      <w:keepNext/>
      <w:keepLines/>
      <w:numPr>
        <w:numId w:val="1"/>
      </w:numPr>
      <w:spacing w:after="240"/>
      <w:outlineLvl w:val="0"/>
    </w:pPr>
    <w:rPr>
      <w:b/>
      <w:caps/>
      <w:kern w:val="32"/>
      <w:szCs w:val="22"/>
    </w:rPr>
  </w:style>
  <w:style w:type="paragraph" w:styleId="Heading2">
    <w:name w:val="heading 2"/>
    <w:basedOn w:val="Normal"/>
    <w:next w:val="Heading3"/>
    <w:qFormat/>
    <w:rsid w:val="00DE48C9"/>
    <w:pPr>
      <w:keepNext/>
      <w:keepLines/>
      <w:numPr>
        <w:ilvl w:val="1"/>
        <w:numId w:val="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qFormat/>
    <w:rsid w:val="00DE48C9"/>
    <w:pPr>
      <w:keepNext/>
      <w:keepLines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qFormat/>
    <w:rsid w:val="00DE48C9"/>
    <w:pPr>
      <w:keepNext/>
      <w:keepLines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qFormat/>
    <w:rsid w:val="00DE48C9"/>
    <w:pPr>
      <w:keepNext/>
      <w:keepLines/>
      <w:numPr>
        <w:ilvl w:val="4"/>
        <w:numId w:val="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8C9"/>
    <w:pPr>
      <w:numPr>
        <w:ilvl w:val="5"/>
        <w:numId w:val="1"/>
      </w:numPr>
      <w:spacing w:after="240"/>
    </w:pPr>
  </w:style>
  <w:style w:type="character" w:styleId="PageNumber">
    <w:name w:val="page number"/>
    <w:basedOn w:val="DefaultParagraphFont"/>
    <w:rsid w:val="00AF572D"/>
  </w:style>
  <w:style w:type="paragraph" w:styleId="BodyText2">
    <w:name w:val="Body Text 2"/>
    <w:basedOn w:val="Normal"/>
    <w:rsid w:val="00DE48C9"/>
    <w:pPr>
      <w:numPr>
        <w:ilvl w:val="6"/>
        <w:numId w:val="1"/>
      </w:numPr>
      <w:tabs>
        <w:tab w:val="clear" w:pos="720"/>
      </w:tabs>
      <w:spacing w:after="240"/>
    </w:pPr>
  </w:style>
  <w:style w:type="paragraph" w:styleId="BodyText3">
    <w:name w:val="Body Text 3"/>
    <w:basedOn w:val="Normal"/>
    <w:rsid w:val="00DE48C9"/>
    <w:pPr>
      <w:numPr>
        <w:ilvl w:val="7"/>
        <w:numId w:val="1"/>
      </w:numPr>
      <w:tabs>
        <w:tab w:val="clear" w:pos="720"/>
      </w:tabs>
      <w:spacing w:after="240"/>
    </w:pPr>
  </w:style>
  <w:style w:type="paragraph" w:customStyle="1" w:styleId="BodyText4">
    <w:name w:val="Body Text 4"/>
    <w:basedOn w:val="Normal"/>
    <w:rsid w:val="00DE48C9"/>
    <w:pPr>
      <w:numPr>
        <w:ilvl w:val="8"/>
        <w:numId w:val="1"/>
      </w:numPr>
      <w:tabs>
        <w:tab w:val="clear" w:pos="720"/>
      </w:tabs>
      <w:spacing w:after="240"/>
    </w:pPr>
  </w:style>
  <w:style w:type="paragraph" w:styleId="EndnoteText">
    <w:name w:val="endnote text"/>
    <w:basedOn w:val="Normal"/>
    <w:semiHidden/>
    <w:pPr>
      <w:jc w:val="left"/>
    </w:pPr>
    <w:rPr>
      <w:sz w:val="2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pPr>
      <w:ind w:firstLine="720"/>
    </w:pPr>
    <w:rPr>
      <w:sz w:val="20"/>
    </w:rPr>
  </w:style>
  <w:style w:type="paragraph" w:styleId="Index1">
    <w:name w:val="index 1"/>
    <w:basedOn w:val="Normal"/>
    <w:next w:val="Normal"/>
    <w:semiHidden/>
    <w:pPr>
      <w:ind w:left="221" w:hanging="221"/>
    </w:pPr>
  </w:style>
  <w:style w:type="paragraph" w:styleId="IndexHeading">
    <w:name w:val="index heading"/>
    <w:basedOn w:val="Normal"/>
    <w:next w:val="Index1"/>
    <w:semiHidden/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2">
    <w:name w:val="List Bullet 2"/>
    <w:basedOn w:val="Normal"/>
    <w:semiHidden/>
    <w:pPr>
      <w:numPr>
        <w:numId w:val="3"/>
      </w:numPr>
      <w:tabs>
        <w:tab w:val="clear" w:pos="643"/>
      </w:tabs>
      <w:ind w:left="1440" w:hanging="720"/>
    </w:pPr>
  </w:style>
  <w:style w:type="paragraph" w:styleId="ListBullet4">
    <w:name w:val="List Bullet 4"/>
    <w:basedOn w:val="Normal"/>
    <w:semiHidden/>
    <w:pPr>
      <w:numPr>
        <w:numId w:val="4"/>
      </w:numPr>
      <w:tabs>
        <w:tab w:val="clear" w:pos="1209"/>
        <w:tab w:val="left" w:pos="1440"/>
      </w:tabs>
      <w:ind w:left="2160" w:hanging="720"/>
    </w:pPr>
  </w:style>
  <w:style w:type="paragraph" w:styleId="ListNumber">
    <w:name w:val="List Number"/>
    <w:basedOn w:val="Normal"/>
    <w:semiHidden/>
    <w:pPr>
      <w:numPr>
        <w:numId w:val="6"/>
      </w:numPr>
      <w:tabs>
        <w:tab w:val="clear" w:pos="360"/>
      </w:tabs>
    </w:pPr>
  </w:style>
  <w:style w:type="paragraph" w:styleId="ListNumber2">
    <w:name w:val="List Number 2"/>
    <w:basedOn w:val="Normal"/>
    <w:semiHidden/>
    <w:pPr>
      <w:numPr>
        <w:numId w:val="5"/>
      </w:numPr>
      <w:tabs>
        <w:tab w:val="clear" w:pos="643"/>
      </w:tabs>
      <w:ind w:left="1440" w:hanging="720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ubtitle">
    <w:name w:val="Subtitle"/>
    <w:basedOn w:val="Normal"/>
    <w:qFormat/>
    <w:pPr>
      <w:jc w:val="center"/>
      <w:outlineLvl w:val="1"/>
    </w:pPr>
  </w:style>
  <w:style w:type="paragraph" w:styleId="TableofAuthorities">
    <w:name w:val="table of authorities"/>
    <w:basedOn w:val="Normal"/>
    <w:next w:val="Normal"/>
    <w:semiHidden/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jc w:val="center"/>
    </w:pPr>
    <w:rPr>
      <w:b/>
      <w:caps/>
      <w:kern w:val="28"/>
    </w:rPr>
  </w:style>
  <w:style w:type="paragraph" w:customStyle="1" w:styleId="Title2">
    <w:name w:val="Title 2"/>
    <w:basedOn w:val="Normal"/>
    <w:pPr>
      <w:jc w:val="center"/>
    </w:pPr>
    <w:rPr>
      <w:u w:val="single"/>
    </w:rPr>
  </w:style>
  <w:style w:type="paragraph" w:customStyle="1" w:styleId="Title3">
    <w:name w:val="Title 3"/>
    <w:basedOn w:val="Normal"/>
    <w:pPr>
      <w:jc w:val="center"/>
    </w:pPr>
    <w:rPr>
      <w:i/>
    </w:rPr>
  </w:style>
  <w:style w:type="paragraph" w:customStyle="1" w:styleId="TitleCountry">
    <w:name w:val="Title Country"/>
    <w:basedOn w:val="Normal"/>
    <w:pPr>
      <w:jc w:val="center"/>
    </w:pPr>
    <w:rPr>
      <w:caps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spacing w:before="60" w:after="60"/>
      <w:ind w:left="720" w:right="720"/>
      <w:jc w:val="left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spacing w:before="60" w:after="60"/>
      <w:ind w:left="1100" w:right="720"/>
      <w:jc w:val="left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spacing w:before="60" w:after="60"/>
      <w:ind w:left="1321" w:right="72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spacing w:before="60" w:after="60"/>
      <w:ind w:left="1542" w:right="720"/>
      <w:jc w:val="left"/>
    </w:pPr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Quotation">
    <w:name w:val="Quotation"/>
    <w:basedOn w:val="Normal"/>
    <w:pPr>
      <w:spacing w:after="240"/>
      <w:ind w:left="720" w:right="720"/>
    </w:pPr>
  </w:style>
  <w:style w:type="paragraph" w:customStyle="1" w:styleId="QuotationDouble">
    <w:name w:val="Quotation Double"/>
    <w:basedOn w:val="Normal"/>
    <w:pPr>
      <w:spacing w:after="240"/>
      <w:ind w:left="1440" w:right="1440"/>
    </w:pPr>
  </w:style>
  <w:style w:type="paragraph" w:customStyle="1" w:styleId="FootnoteQuotation">
    <w:name w:val="Footnote Quotation"/>
    <w:basedOn w:val="Normal"/>
    <w:pPr>
      <w:ind w:left="720" w:right="72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7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7"/>
      </w:tabs>
      <w:jc w:val="left"/>
    </w:pPr>
  </w:style>
  <w:style w:type="paragraph" w:customStyle="1" w:styleId="CharCharCharCharCharCharCharCharCharChar">
    <w:name w:val="Char Char Char Char Char Char Char Char Char Char"/>
    <w:aliases w:val=" Char Char Char Char Char Char Char Char Char Char Char Char Char"/>
    <w:basedOn w:val="Normal"/>
    <w:next w:val="Normal"/>
    <w:semiHidden/>
    <w:rsid w:val="009D02EF"/>
    <w:pPr>
      <w:tabs>
        <w:tab w:val="clear" w:pos="720"/>
      </w:tabs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508"/>
    <w:rPr>
      <w:rFonts w:ascii="Tahoma" w:hAnsi="Tahoma" w:cs="Tahoma"/>
      <w:sz w:val="16"/>
      <w:szCs w:val="16"/>
      <w:lang w:val="fr-FR" w:eastAsia="en-GB"/>
    </w:rPr>
  </w:style>
  <w:style w:type="paragraph" w:styleId="Revision">
    <w:name w:val="Revision"/>
    <w:hidden/>
    <w:uiPriority w:val="99"/>
    <w:semiHidden/>
    <w:rsid w:val="00881E86"/>
    <w:rPr>
      <w:sz w:val="22"/>
      <w:lang w:val="fr-FR"/>
    </w:rPr>
  </w:style>
  <w:style w:type="character" w:styleId="CommentReference">
    <w:name w:val="annotation reference"/>
    <w:uiPriority w:val="99"/>
    <w:semiHidden/>
    <w:unhideWhenUsed/>
    <w:rsid w:val="006F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85B"/>
    <w:rPr>
      <w:sz w:val="20"/>
    </w:rPr>
  </w:style>
  <w:style w:type="character" w:customStyle="1" w:styleId="CommentTextChar">
    <w:name w:val="Comment Text Char"/>
    <w:link w:val="CommentText"/>
    <w:uiPriority w:val="99"/>
    <w:rsid w:val="006F585B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8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585B"/>
    <w:rPr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4C1D64"/>
    <w:pPr>
      <w:tabs>
        <w:tab w:val="clear" w:pos="720"/>
      </w:tabs>
      <w:ind w:left="720"/>
      <w:contextualSpacing/>
    </w:pPr>
    <w:rPr>
      <w:rFonts w:ascii="Verdana" w:eastAsia="Calibri" w:hAnsi="Verdana" w:cs="Arial"/>
      <w:sz w:val="18"/>
      <w:szCs w:val="22"/>
      <w:lang w:val="en-GB" w:eastAsia="en-US"/>
    </w:rPr>
  </w:style>
  <w:style w:type="table" w:styleId="TableGrid">
    <w:name w:val="Table Grid"/>
    <w:basedOn w:val="TableNormal"/>
    <w:uiPriority w:val="59"/>
    <w:rsid w:val="0099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95A9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307713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7B181F"/>
    <w:rPr>
      <w:sz w:val="22"/>
      <w:lang w:val="fr-FR"/>
    </w:rPr>
  </w:style>
  <w:style w:type="character" w:customStyle="1" w:styleId="ui-provider">
    <w:name w:val="ui-provider"/>
    <w:basedOn w:val="DefaultParagraphFont"/>
    <w:rsid w:val="00252222"/>
  </w:style>
  <w:style w:type="character" w:customStyle="1" w:styleId="FooterChar">
    <w:name w:val="Footer Char"/>
    <w:basedOn w:val="DefaultParagraphFont"/>
    <w:link w:val="Footer"/>
    <w:uiPriority w:val="99"/>
    <w:rsid w:val="00E93C74"/>
    <w:rPr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724</Words>
  <Characters>4702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WTO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Cossy</dc:creator>
  <cp:keywords/>
  <cp:lastModifiedBy>Bertola, Elena</cp:lastModifiedBy>
  <cp:revision>25</cp:revision>
  <cp:lastPrinted>2024-10-01T10:57:00Z</cp:lastPrinted>
  <dcterms:created xsi:type="dcterms:W3CDTF">2024-10-01T15:31:00Z</dcterms:created>
  <dcterms:modified xsi:type="dcterms:W3CDTF">2024-10-04T07:54:00Z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ee7be7b7-d03e-468e-b348-3efa5c826201</vt:lpwstr>
  </property>
</Properties>
</file>