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5B41" w14:textId="15D73A75" w:rsidR="00850889" w:rsidRPr="00192AC0" w:rsidRDefault="00E957F8" w:rsidP="00192AC0">
      <w:pPr>
        <w:jc w:val="center"/>
        <w:rPr>
          <w:b/>
          <w:bCs/>
          <w:sz w:val="20"/>
          <w:szCs w:val="20"/>
        </w:rPr>
      </w:pPr>
      <w:r w:rsidRPr="00192AC0">
        <w:rPr>
          <w:b/>
          <w:bCs/>
          <w:sz w:val="20"/>
          <w:szCs w:val="20"/>
        </w:rPr>
        <w:t>China General Internship Programme</w:t>
      </w:r>
    </w:p>
    <w:p w14:paraId="2ED6B6C9" w14:textId="77777777" w:rsidR="00E957F8" w:rsidRPr="00192AC0" w:rsidRDefault="00E957F8" w:rsidP="00182A75">
      <w:pPr>
        <w:rPr>
          <w:sz w:val="20"/>
          <w:szCs w:val="20"/>
        </w:rPr>
      </w:pPr>
    </w:p>
    <w:p w14:paraId="6ADE1D85" w14:textId="7CEA6175" w:rsidR="00E957F8" w:rsidRPr="00192AC0" w:rsidRDefault="00E957F8" w:rsidP="00192AC0">
      <w:pPr>
        <w:jc w:val="center"/>
        <w:rPr>
          <w:b/>
          <w:bCs/>
          <w:sz w:val="20"/>
          <w:szCs w:val="20"/>
        </w:rPr>
      </w:pPr>
      <w:r w:rsidRPr="00192AC0">
        <w:rPr>
          <w:b/>
          <w:bCs/>
          <w:sz w:val="20"/>
          <w:szCs w:val="20"/>
        </w:rPr>
        <w:t>Concept Note</w:t>
      </w:r>
    </w:p>
    <w:p w14:paraId="146E8BDE" w14:textId="77777777" w:rsidR="00E957F8" w:rsidRPr="00192AC0" w:rsidRDefault="00E957F8" w:rsidP="00182A75">
      <w:pPr>
        <w:rPr>
          <w:sz w:val="20"/>
          <w:szCs w:val="20"/>
        </w:rPr>
      </w:pPr>
    </w:p>
    <w:p w14:paraId="006964BB" w14:textId="77777777" w:rsidR="00EE3842" w:rsidRPr="00192AC0" w:rsidRDefault="00EC3672" w:rsidP="00182A75">
      <w:pPr>
        <w:rPr>
          <w:rFonts w:eastAsia="Times New Roman" w:cs="Times New Roman"/>
          <w:sz w:val="20"/>
          <w:szCs w:val="20"/>
          <w:lang w:eastAsia="zh-CN"/>
        </w:rPr>
      </w:pPr>
      <w:r w:rsidRPr="00192AC0">
        <w:rPr>
          <w:sz w:val="20"/>
          <w:szCs w:val="20"/>
        </w:rPr>
        <w:t xml:space="preserve">The recent renewal of the </w:t>
      </w:r>
      <w:r w:rsidR="008A10F9" w:rsidRPr="00192AC0">
        <w:rPr>
          <w:rFonts w:eastAsia="Times New Roman" w:cs="Times New Roman"/>
          <w:sz w:val="20"/>
          <w:szCs w:val="20"/>
          <w:lang w:eastAsia="en-GB"/>
        </w:rPr>
        <w:t>China's LDCs and Accessions Programme" (The China Programme</w:t>
      </w:r>
      <w:r w:rsidR="00EE3842" w:rsidRPr="00192AC0">
        <w:rPr>
          <w:rFonts w:eastAsia="Times New Roman" w:cs="Times New Roman"/>
          <w:sz w:val="20"/>
          <w:szCs w:val="20"/>
          <w:lang w:eastAsia="zh-CN"/>
        </w:rPr>
        <w:t>) in October 2023 allowed for internships under the programme to be extended to all other operational divisions in the secretariat; whereby a total of five General internships would be made available secretariat wide, these are in addition to the five internships that are earmarked for the Accessions Division. The programme is expected to become operational in the first quarter of 2024.</w:t>
      </w:r>
    </w:p>
    <w:p w14:paraId="4253026C" w14:textId="77777777" w:rsidR="00EE3842" w:rsidRPr="00192AC0" w:rsidRDefault="00EE3842" w:rsidP="00182A75">
      <w:pPr>
        <w:rPr>
          <w:rFonts w:eastAsia="Times New Roman" w:cs="Times New Roman"/>
          <w:sz w:val="20"/>
          <w:szCs w:val="20"/>
          <w:lang w:eastAsia="zh-CN"/>
        </w:rPr>
      </w:pPr>
    </w:p>
    <w:p w14:paraId="3320DACD" w14:textId="5B0A8C9A" w:rsidR="00EE3842" w:rsidRPr="00192AC0" w:rsidRDefault="00EE3842" w:rsidP="00182A75">
      <w:pPr>
        <w:rPr>
          <w:rFonts w:eastAsia="Times New Roman" w:cs="Times New Roman"/>
          <w:b/>
          <w:bCs/>
          <w:sz w:val="20"/>
          <w:szCs w:val="20"/>
          <w:lang w:eastAsia="zh-CN"/>
        </w:rPr>
      </w:pPr>
      <w:r w:rsidRPr="00192AC0">
        <w:rPr>
          <w:rFonts w:eastAsia="Times New Roman" w:cs="Times New Roman"/>
          <w:b/>
          <w:bCs/>
          <w:sz w:val="20"/>
          <w:szCs w:val="20"/>
          <w:lang w:eastAsia="zh-CN"/>
        </w:rPr>
        <w:t xml:space="preserve">Objective </w:t>
      </w:r>
      <w:r w:rsidR="00A81AB5" w:rsidRPr="00192AC0">
        <w:rPr>
          <w:rFonts w:eastAsia="Times New Roman" w:cs="Times New Roman"/>
          <w:b/>
          <w:bCs/>
          <w:sz w:val="20"/>
          <w:szCs w:val="20"/>
          <w:lang w:eastAsia="zh-CN"/>
        </w:rPr>
        <w:t>and scope</w:t>
      </w:r>
    </w:p>
    <w:p w14:paraId="7D338448" w14:textId="77777777" w:rsidR="00EE3842" w:rsidRPr="00192AC0" w:rsidRDefault="00EE3842" w:rsidP="00182A75">
      <w:pPr>
        <w:rPr>
          <w:rFonts w:eastAsia="Times New Roman" w:cs="Times New Roman"/>
          <w:sz w:val="20"/>
          <w:szCs w:val="20"/>
          <w:lang w:eastAsia="zh-CN"/>
        </w:rPr>
      </w:pPr>
    </w:p>
    <w:p w14:paraId="1F2570F8" w14:textId="77777777" w:rsidR="00A81AB5" w:rsidRPr="00192AC0" w:rsidRDefault="00EE3842" w:rsidP="00182A75">
      <w:pPr>
        <w:rPr>
          <w:rFonts w:eastAsia="Times New Roman" w:cs="Times New Roman"/>
          <w:sz w:val="20"/>
          <w:szCs w:val="20"/>
        </w:rPr>
      </w:pPr>
      <w:r w:rsidRPr="00192AC0">
        <w:rPr>
          <w:rFonts w:eastAsia="Times New Roman" w:cs="Times New Roman"/>
          <w:sz w:val="20"/>
          <w:szCs w:val="20"/>
        </w:rPr>
        <w:t>The China</w:t>
      </w:r>
      <w:r w:rsidRPr="00192AC0">
        <w:rPr>
          <w:rFonts w:eastAsia="Times New Roman" w:cs="Times New Roman"/>
          <w:b/>
          <w:sz w:val="20"/>
          <w:szCs w:val="20"/>
          <w:lang w:eastAsia="en-GB"/>
        </w:rPr>
        <w:t xml:space="preserve"> </w:t>
      </w:r>
      <w:r w:rsidRPr="00192AC0">
        <w:rPr>
          <w:rFonts w:eastAsia="Times New Roman" w:cs="Times New Roman"/>
          <w:sz w:val="20"/>
          <w:szCs w:val="20"/>
        </w:rPr>
        <w:t xml:space="preserve">Internship Programme is intended to develop the capacity of young </w:t>
      </w:r>
      <w:r w:rsidRPr="00192AC0">
        <w:rPr>
          <w:rFonts w:eastAsia="Times New Roman" w:cs="Times New Roman"/>
          <w:sz w:val="20"/>
          <w:szCs w:val="20"/>
          <w:lang w:val="en"/>
        </w:rPr>
        <w:t xml:space="preserve">professionals and </w:t>
      </w:r>
      <w:r w:rsidRPr="00192AC0">
        <w:rPr>
          <w:rFonts w:eastAsia="SimSun" w:cs="Times New Roman" w:hint="eastAsia"/>
          <w:sz w:val="20"/>
          <w:szCs w:val="20"/>
          <w:lang w:val="en-US" w:eastAsia="zh-CN"/>
        </w:rPr>
        <w:t>government officials</w:t>
      </w:r>
      <w:r w:rsidRPr="00192AC0">
        <w:rPr>
          <w:rFonts w:eastAsia="Times New Roman" w:cs="Times New Roman"/>
          <w:sz w:val="20"/>
          <w:szCs w:val="20"/>
        </w:rPr>
        <w:t xml:space="preserve"> from LDCs and developing Members and Observers with an academic background relevant to the work of the WTO, to master the WTO rules-based system, </w:t>
      </w:r>
      <w:proofErr w:type="gramStart"/>
      <w:r w:rsidRPr="00192AC0">
        <w:rPr>
          <w:rFonts w:eastAsia="Times New Roman" w:cs="Times New Roman"/>
          <w:sz w:val="20"/>
          <w:szCs w:val="20"/>
        </w:rPr>
        <w:t>so as to</w:t>
      </w:r>
      <w:proofErr w:type="gramEnd"/>
      <w:r w:rsidRPr="00192AC0">
        <w:rPr>
          <w:rFonts w:eastAsia="Times New Roman" w:cs="Times New Roman"/>
          <w:sz w:val="20"/>
          <w:szCs w:val="20"/>
        </w:rPr>
        <w:t xml:space="preserve"> prepare for careers in the fields of trade law, international economics and international relations.</w:t>
      </w:r>
    </w:p>
    <w:p w14:paraId="0AE0CEB0" w14:textId="77777777" w:rsidR="00A81AB5" w:rsidRPr="00192AC0" w:rsidRDefault="00A81AB5" w:rsidP="00182A75">
      <w:pPr>
        <w:rPr>
          <w:rFonts w:eastAsia="Times New Roman" w:cs="Times New Roman"/>
          <w:sz w:val="20"/>
          <w:szCs w:val="20"/>
        </w:rPr>
      </w:pPr>
    </w:p>
    <w:p w14:paraId="32D7B1D1" w14:textId="57D9699F" w:rsidR="00A81AB5" w:rsidRPr="00192AC0" w:rsidRDefault="00A81AB5" w:rsidP="00A81AB5">
      <w:pPr>
        <w:rPr>
          <w:rFonts w:eastAsia="Times New Roman" w:cs="Times New Roman"/>
          <w:sz w:val="20"/>
          <w:szCs w:val="20"/>
        </w:rPr>
      </w:pPr>
      <w:r w:rsidRPr="00A81AB5">
        <w:rPr>
          <w:rFonts w:eastAsia="Times New Roman" w:cs="Times New Roman"/>
          <w:sz w:val="20"/>
          <w:szCs w:val="20"/>
        </w:rPr>
        <w:t xml:space="preserve">The interns </w:t>
      </w:r>
      <w:r w:rsidRPr="00192AC0">
        <w:rPr>
          <w:rFonts w:eastAsia="Times New Roman" w:cs="Times New Roman"/>
          <w:sz w:val="20"/>
          <w:szCs w:val="20"/>
        </w:rPr>
        <w:t>will be</w:t>
      </w:r>
      <w:r w:rsidRPr="00A81AB5">
        <w:rPr>
          <w:rFonts w:eastAsia="Times New Roman" w:cs="Times New Roman"/>
          <w:sz w:val="20"/>
          <w:szCs w:val="20"/>
        </w:rPr>
        <w:t xml:space="preserve"> allocated to a specific division of the WTO Secretariat in accordance with the needs and priorities of the organization and based on the areas of interest of the applicant. </w:t>
      </w:r>
    </w:p>
    <w:p w14:paraId="3DB8FFF8" w14:textId="77777777" w:rsidR="00A81AB5" w:rsidRPr="00A81AB5" w:rsidRDefault="00A81AB5" w:rsidP="00A81AB5">
      <w:pPr>
        <w:rPr>
          <w:rFonts w:eastAsia="Times New Roman" w:cs="Times New Roman"/>
          <w:sz w:val="20"/>
          <w:szCs w:val="20"/>
        </w:rPr>
      </w:pPr>
    </w:p>
    <w:p w14:paraId="3F70F674" w14:textId="03D1082B" w:rsidR="00A81AB5" w:rsidRPr="00A81AB5" w:rsidRDefault="00A81AB5" w:rsidP="00A81AB5">
      <w:pPr>
        <w:rPr>
          <w:rFonts w:eastAsia="Times New Roman" w:cs="Times New Roman"/>
          <w:sz w:val="20"/>
          <w:szCs w:val="20"/>
        </w:rPr>
      </w:pPr>
      <w:r w:rsidRPr="00A81AB5">
        <w:rPr>
          <w:rFonts w:eastAsia="Times New Roman" w:cs="Times New Roman"/>
          <w:sz w:val="20"/>
          <w:szCs w:val="20"/>
        </w:rPr>
        <w:t xml:space="preserve">Assignments given to interns are intended to enhance their understanding of trade law, </w:t>
      </w:r>
      <w:proofErr w:type="gramStart"/>
      <w:r w:rsidRPr="00A81AB5">
        <w:rPr>
          <w:rFonts w:eastAsia="Times New Roman" w:cs="Times New Roman"/>
          <w:sz w:val="20"/>
          <w:szCs w:val="20"/>
        </w:rPr>
        <w:t>economics</w:t>
      </w:r>
      <w:proofErr w:type="gramEnd"/>
      <w:r w:rsidRPr="00A81AB5">
        <w:rPr>
          <w:rFonts w:eastAsia="Times New Roman" w:cs="Times New Roman"/>
          <w:sz w:val="20"/>
          <w:szCs w:val="20"/>
        </w:rPr>
        <w:t xml:space="preserve"> and trade policies more generally. The needs of the division are balanced with the capacity-building needs of the interns. Under the supervision of a professional staff member, interns are expected to assist the division in its regular work.</w:t>
      </w:r>
      <w:r w:rsidRPr="00192AC0">
        <w:rPr>
          <w:rFonts w:eastAsia="Times New Roman" w:cs="Times New Roman"/>
          <w:sz w:val="20"/>
          <w:szCs w:val="20"/>
        </w:rPr>
        <w:t xml:space="preserve"> The internships are up to a maximum d</w:t>
      </w:r>
      <w:r w:rsidRPr="00A81AB5">
        <w:rPr>
          <w:rFonts w:eastAsia="Times New Roman" w:cs="Times New Roman"/>
          <w:sz w:val="20"/>
          <w:szCs w:val="20"/>
        </w:rPr>
        <w:t>uration</w:t>
      </w:r>
      <w:r w:rsidRPr="00192AC0">
        <w:rPr>
          <w:rFonts w:eastAsia="Times New Roman" w:cs="Times New Roman"/>
          <w:sz w:val="20"/>
          <w:szCs w:val="20"/>
        </w:rPr>
        <w:t xml:space="preserve"> of 10 months. </w:t>
      </w:r>
    </w:p>
    <w:p w14:paraId="6BABA43E" w14:textId="05331A23" w:rsidR="00A81AB5" w:rsidRPr="00A81AB5" w:rsidRDefault="00A81AB5" w:rsidP="00A81AB5">
      <w:pPr>
        <w:rPr>
          <w:rFonts w:eastAsia="Times New Roman" w:cs="Times New Roman"/>
          <w:sz w:val="20"/>
          <w:szCs w:val="20"/>
        </w:rPr>
      </w:pPr>
    </w:p>
    <w:p w14:paraId="32C8D224" w14:textId="3EC0E429" w:rsidR="00A81AB5" w:rsidRPr="00A81AB5" w:rsidRDefault="00A81AB5" w:rsidP="00A81AB5">
      <w:pPr>
        <w:rPr>
          <w:rFonts w:eastAsia="Times New Roman" w:cs="Times New Roman"/>
          <w:b/>
          <w:bCs/>
          <w:sz w:val="20"/>
          <w:szCs w:val="20"/>
        </w:rPr>
      </w:pPr>
      <w:r w:rsidRPr="00A81AB5">
        <w:rPr>
          <w:rFonts w:eastAsia="Times New Roman" w:cs="Times New Roman"/>
          <w:b/>
          <w:bCs/>
          <w:sz w:val="20"/>
          <w:szCs w:val="20"/>
        </w:rPr>
        <w:t>Remuneration and benefits</w:t>
      </w:r>
    </w:p>
    <w:p w14:paraId="732F7BE6" w14:textId="77777777" w:rsidR="00A81AB5" w:rsidRPr="00192AC0" w:rsidRDefault="00A81AB5" w:rsidP="00A81AB5">
      <w:pPr>
        <w:rPr>
          <w:rFonts w:eastAsia="Times New Roman" w:cs="Times New Roman"/>
          <w:sz w:val="20"/>
          <w:szCs w:val="20"/>
        </w:rPr>
      </w:pPr>
    </w:p>
    <w:p w14:paraId="5D326D0B" w14:textId="0AF4FA35" w:rsidR="00A81AB5" w:rsidRPr="00A81AB5" w:rsidRDefault="00A81AB5" w:rsidP="00A81AB5">
      <w:pPr>
        <w:rPr>
          <w:rFonts w:eastAsia="Times New Roman" w:cs="Times New Roman"/>
          <w:sz w:val="20"/>
          <w:szCs w:val="20"/>
        </w:rPr>
      </w:pPr>
      <w:r w:rsidRPr="00A81AB5">
        <w:rPr>
          <w:rFonts w:eastAsia="Times New Roman" w:cs="Times New Roman"/>
          <w:sz w:val="20"/>
          <w:szCs w:val="20"/>
        </w:rPr>
        <w:t>Interns under the programme receive a daily allowance of CHF 90 (including weekends and official holidays that occur within the selected periods).  In addition, travel expenses (economy class air fare) to and from Geneva are also covered by the programme.</w:t>
      </w:r>
    </w:p>
    <w:p w14:paraId="728E2126" w14:textId="77777777" w:rsidR="00A81AB5" w:rsidRPr="00192AC0" w:rsidRDefault="00A81AB5" w:rsidP="00A81AB5">
      <w:pPr>
        <w:rPr>
          <w:rFonts w:eastAsia="Times New Roman" w:cs="Times New Roman"/>
          <w:sz w:val="20"/>
          <w:szCs w:val="20"/>
        </w:rPr>
      </w:pPr>
      <w:r w:rsidRPr="00A81AB5">
        <w:rPr>
          <w:rFonts w:eastAsia="Times New Roman" w:cs="Times New Roman"/>
          <w:sz w:val="20"/>
          <w:szCs w:val="20"/>
        </w:rPr>
        <w:t>Medical health insurance coverage is mandatory in Switzerland, and interns are responsible for organizing their own health insurance prior to commencing their internship at the WTO. In this respect, interns receive an extra CHF100 per month to subsidize their health insurance premium payments for the duration of their internship.</w:t>
      </w:r>
    </w:p>
    <w:p w14:paraId="04C0485A" w14:textId="77777777" w:rsidR="0075384E" w:rsidRPr="00192AC0" w:rsidRDefault="0075384E" w:rsidP="00A81AB5">
      <w:pPr>
        <w:rPr>
          <w:rFonts w:eastAsia="Times New Roman" w:cs="Times New Roman"/>
          <w:sz w:val="20"/>
          <w:szCs w:val="20"/>
        </w:rPr>
      </w:pPr>
    </w:p>
    <w:p w14:paraId="6370FEF9" w14:textId="77777777" w:rsidR="0075384E" w:rsidRPr="00192AC0" w:rsidRDefault="0075384E" w:rsidP="0075384E">
      <w:pPr>
        <w:rPr>
          <w:rFonts w:eastAsia="Times New Roman" w:cs="Times New Roman"/>
          <w:b/>
          <w:bCs/>
          <w:sz w:val="20"/>
          <w:szCs w:val="20"/>
        </w:rPr>
      </w:pPr>
      <w:r w:rsidRPr="0075384E">
        <w:rPr>
          <w:rFonts w:eastAsia="Times New Roman" w:cs="Times New Roman"/>
          <w:b/>
          <w:bCs/>
          <w:sz w:val="20"/>
          <w:szCs w:val="20"/>
        </w:rPr>
        <w:t>Eligibility</w:t>
      </w:r>
    </w:p>
    <w:p w14:paraId="78289DA1" w14:textId="77777777" w:rsidR="003D426F" w:rsidRPr="0075384E" w:rsidRDefault="003D426F" w:rsidP="0075384E">
      <w:pPr>
        <w:rPr>
          <w:rFonts w:eastAsia="Times New Roman" w:cs="Times New Roman"/>
          <w:sz w:val="20"/>
          <w:szCs w:val="20"/>
        </w:rPr>
      </w:pPr>
    </w:p>
    <w:p w14:paraId="00F28A73" w14:textId="77777777" w:rsidR="0075384E" w:rsidRPr="0075384E" w:rsidRDefault="0075384E" w:rsidP="0075384E">
      <w:pPr>
        <w:rPr>
          <w:rFonts w:eastAsia="Times New Roman" w:cs="Times New Roman"/>
          <w:sz w:val="20"/>
          <w:szCs w:val="20"/>
        </w:rPr>
      </w:pPr>
      <w:r w:rsidRPr="0075384E">
        <w:rPr>
          <w:rFonts w:eastAsia="Times New Roman" w:cs="Times New Roman"/>
          <w:sz w:val="20"/>
          <w:szCs w:val="20"/>
        </w:rPr>
        <w:t>A candidate must:</w:t>
      </w:r>
    </w:p>
    <w:p w14:paraId="73B61825" w14:textId="3D0FBB80" w:rsidR="0075384E" w:rsidRPr="0075384E" w:rsidRDefault="0075384E" w:rsidP="0075384E">
      <w:pPr>
        <w:numPr>
          <w:ilvl w:val="0"/>
          <w:numId w:val="19"/>
        </w:numPr>
        <w:rPr>
          <w:rFonts w:eastAsia="Times New Roman" w:cs="Times New Roman"/>
          <w:sz w:val="20"/>
          <w:szCs w:val="20"/>
        </w:rPr>
      </w:pPr>
      <w:r w:rsidRPr="0075384E">
        <w:rPr>
          <w:rFonts w:eastAsia="Times New Roman" w:cs="Times New Roman"/>
          <w:sz w:val="20"/>
          <w:szCs w:val="20"/>
        </w:rPr>
        <w:t xml:space="preserve">be a national of a least-developed country (LDC) or developing WTO member or an observer engaged in accession </w:t>
      </w:r>
      <w:r w:rsidR="001A5736" w:rsidRPr="0075384E">
        <w:rPr>
          <w:rFonts w:eastAsia="Times New Roman" w:cs="Times New Roman"/>
          <w:sz w:val="20"/>
          <w:szCs w:val="20"/>
        </w:rPr>
        <w:t>negotiations.</w:t>
      </w:r>
    </w:p>
    <w:p w14:paraId="2BC93064" w14:textId="78683FF3" w:rsidR="0075384E" w:rsidRPr="0075384E" w:rsidRDefault="0075384E" w:rsidP="0075384E">
      <w:pPr>
        <w:numPr>
          <w:ilvl w:val="0"/>
          <w:numId w:val="19"/>
        </w:numPr>
        <w:rPr>
          <w:rFonts w:eastAsia="Times New Roman" w:cs="Times New Roman"/>
          <w:sz w:val="20"/>
          <w:szCs w:val="20"/>
        </w:rPr>
      </w:pPr>
      <w:r w:rsidRPr="0075384E">
        <w:rPr>
          <w:rFonts w:eastAsia="Times New Roman" w:cs="Times New Roman"/>
          <w:sz w:val="20"/>
          <w:szCs w:val="20"/>
        </w:rPr>
        <w:t>have completed his/her undergraduate studies in a relevant discipline (</w:t>
      </w:r>
      <w:r w:rsidR="001A5736" w:rsidRPr="0075384E">
        <w:rPr>
          <w:rFonts w:eastAsia="Times New Roman" w:cs="Times New Roman"/>
          <w:sz w:val="20"/>
          <w:szCs w:val="20"/>
        </w:rPr>
        <w:t>e.g.,</w:t>
      </w:r>
      <w:r w:rsidRPr="0075384E">
        <w:rPr>
          <w:rFonts w:eastAsia="Times New Roman" w:cs="Times New Roman"/>
          <w:sz w:val="20"/>
          <w:szCs w:val="20"/>
        </w:rPr>
        <w:t xml:space="preserve"> economics, law, political science, international relations), and have completed at least one year of his/her postgraduate </w:t>
      </w:r>
      <w:proofErr w:type="gramStart"/>
      <w:r w:rsidRPr="0075384E">
        <w:rPr>
          <w:rFonts w:eastAsia="Times New Roman" w:cs="Times New Roman"/>
          <w:sz w:val="20"/>
          <w:szCs w:val="20"/>
        </w:rPr>
        <w:t>studies</w:t>
      </w:r>
      <w:proofErr w:type="gramEnd"/>
    </w:p>
    <w:p w14:paraId="26134C0A" w14:textId="06AB6C6B" w:rsidR="00A3086B" w:rsidRDefault="0075384E" w:rsidP="00A3086B">
      <w:pPr>
        <w:numPr>
          <w:ilvl w:val="0"/>
          <w:numId w:val="19"/>
        </w:numPr>
        <w:rPr>
          <w:rFonts w:eastAsia="Times New Roman" w:cs="Times New Roman"/>
          <w:sz w:val="20"/>
          <w:szCs w:val="20"/>
        </w:rPr>
      </w:pPr>
      <w:r w:rsidRPr="00192AC0">
        <w:rPr>
          <w:rFonts w:eastAsia="Times New Roman"/>
          <w:sz w:val="20"/>
          <w:szCs w:val="20"/>
        </w:rPr>
        <w:t>the minimum age for an intern shall be 21 years and the maximum age 30 years.</w:t>
      </w:r>
    </w:p>
    <w:p w14:paraId="7F7A14D8" w14:textId="77777777" w:rsidR="00A3086B" w:rsidRDefault="00A3086B" w:rsidP="00A3086B">
      <w:pPr>
        <w:rPr>
          <w:rFonts w:eastAsia="Times New Roman" w:cs="Times New Roman"/>
          <w:sz w:val="20"/>
          <w:szCs w:val="20"/>
        </w:rPr>
      </w:pPr>
    </w:p>
    <w:p w14:paraId="5819EA57" w14:textId="03E56218" w:rsidR="00A3086B" w:rsidRDefault="00A3086B" w:rsidP="00A3086B">
      <w:pPr>
        <w:rPr>
          <w:rFonts w:eastAsia="Times New Roman" w:cs="Times New Roman"/>
          <w:b/>
          <w:bCs/>
          <w:sz w:val="20"/>
          <w:szCs w:val="20"/>
        </w:rPr>
      </w:pPr>
      <w:r w:rsidRPr="00A3086B">
        <w:rPr>
          <w:rFonts w:eastAsia="Times New Roman" w:cs="Times New Roman"/>
          <w:b/>
          <w:bCs/>
          <w:sz w:val="20"/>
          <w:szCs w:val="20"/>
        </w:rPr>
        <w:t>Application procedures and deadlines</w:t>
      </w:r>
    </w:p>
    <w:p w14:paraId="610C85B9" w14:textId="77777777" w:rsidR="00A3086B" w:rsidRDefault="00A3086B" w:rsidP="00A3086B">
      <w:pPr>
        <w:rPr>
          <w:rFonts w:eastAsia="Times New Roman" w:cs="Times New Roman"/>
          <w:b/>
          <w:bCs/>
          <w:sz w:val="20"/>
          <w:szCs w:val="20"/>
        </w:rPr>
      </w:pPr>
    </w:p>
    <w:p w14:paraId="4CB45838" w14:textId="14DB02EF" w:rsidR="0062796E" w:rsidRPr="0062796E" w:rsidRDefault="00544FE3" w:rsidP="005B6490">
      <w:pPr>
        <w:rPr>
          <w:rFonts w:eastAsia="Times New Roman" w:cs="Times New Roman"/>
          <w:sz w:val="20"/>
          <w:szCs w:val="20"/>
        </w:rPr>
      </w:pPr>
      <w:r>
        <w:rPr>
          <w:rFonts w:eastAsia="Times New Roman" w:cs="Times New Roman"/>
          <w:sz w:val="20"/>
          <w:szCs w:val="20"/>
        </w:rPr>
        <w:t xml:space="preserve">To apply, </w:t>
      </w:r>
      <w:r w:rsidR="0062796E" w:rsidRPr="0062796E">
        <w:rPr>
          <w:rFonts w:eastAsia="Times New Roman" w:cs="Times New Roman"/>
          <w:sz w:val="20"/>
          <w:szCs w:val="20"/>
        </w:rPr>
        <w:t xml:space="preserve">candidates </w:t>
      </w:r>
      <w:r>
        <w:rPr>
          <w:rFonts w:eastAsia="Times New Roman" w:cs="Times New Roman"/>
          <w:sz w:val="20"/>
          <w:szCs w:val="20"/>
        </w:rPr>
        <w:t xml:space="preserve">need to </w:t>
      </w:r>
      <w:r w:rsidR="0062796E" w:rsidRPr="0062796E">
        <w:rPr>
          <w:rFonts w:eastAsia="Times New Roman" w:cs="Times New Roman"/>
          <w:sz w:val="20"/>
          <w:szCs w:val="20"/>
        </w:rPr>
        <w:t xml:space="preserve">meet the </w:t>
      </w:r>
      <w:r w:rsidR="00281C4C">
        <w:rPr>
          <w:rFonts w:eastAsia="Times New Roman" w:cs="Times New Roman"/>
          <w:sz w:val="20"/>
          <w:szCs w:val="20"/>
        </w:rPr>
        <w:t>eligibility</w:t>
      </w:r>
      <w:r w:rsidR="0062796E" w:rsidRPr="0062796E">
        <w:rPr>
          <w:rFonts w:eastAsia="Times New Roman" w:cs="Times New Roman"/>
          <w:sz w:val="20"/>
          <w:szCs w:val="20"/>
        </w:rPr>
        <w:t xml:space="preserve"> criteria, </w:t>
      </w:r>
      <w:r w:rsidR="00281C4C">
        <w:rPr>
          <w:rFonts w:eastAsia="Times New Roman" w:cs="Times New Roman"/>
          <w:sz w:val="20"/>
          <w:szCs w:val="20"/>
        </w:rPr>
        <w:t xml:space="preserve">and </w:t>
      </w:r>
      <w:r w:rsidR="0062796E" w:rsidRPr="0062796E">
        <w:rPr>
          <w:rFonts w:eastAsia="Times New Roman" w:cs="Times New Roman"/>
          <w:sz w:val="20"/>
          <w:szCs w:val="20"/>
        </w:rPr>
        <w:t>should complete a general internship application form on </w:t>
      </w:r>
      <w:hyperlink r:id="rId7" w:tgtFrame="_blank" w:history="1">
        <w:r w:rsidR="0062796E" w:rsidRPr="0062796E">
          <w:rPr>
            <w:rStyle w:val="Hyperlink"/>
            <w:rFonts w:eastAsia="Times New Roman" w:cs="Times New Roman"/>
            <w:sz w:val="20"/>
            <w:szCs w:val="20"/>
          </w:rPr>
          <w:t>the WTO external jobs platform</w:t>
        </w:r>
      </w:hyperlink>
      <w:r w:rsidR="005B6490">
        <w:rPr>
          <w:rFonts w:eastAsia="Times New Roman" w:cs="Times New Roman"/>
          <w:sz w:val="20"/>
          <w:szCs w:val="20"/>
        </w:rPr>
        <w:t xml:space="preserve">; in addition they need to send a </w:t>
      </w:r>
      <w:r w:rsidR="0062796E" w:rsidRPr="0062796E">
        <w:rPr>
          <w:rFonts w:eastAsia="Times New Roman" w:cs="Times New Roman"/>
          <w:sz w:val="20"/>
          <w:szCs w:val="20"/>
        </w:rPr>
        <w:t>separate email to  </w:t>
      </w:r>
      <w:hyperlink r:id="rId8" w:history="1">
        <w:r w:rsidR="0062796E" w:rsidRPr="0062796E">
          <w:rPr>
            <w:rStyle w:val="Hyperlink"/>
            <w:rFonts w:eastAsia="Times New Roman" w:cs="Times New Roman"/>
            <w:sz w:val="20"/>
            <w:szCs w:val="20"/>
          </w:rPr>
          <w:t>ChinaInternship@wto.org</w:t>
        </w:r>
      </w:hyperlink>
      <w:r w:rsidR="0062796E" w:rsidRPr="0062796E">
        <w:rPr>
          <w:rFonts w:eastAsia="Times New Roman" w:cs="Times New Roman"/>
          <w:sz w:val="20"/>
          <w:szCs w:val="20"/>
        </w:rPr>
        <w:t>  with a copy of the online application form attached to the e-mail.</w:t>
      </w:r>
    </w:p>
    <w:p w14:paraId="3DA93044" w14:textId="66ECD07C" w:rsidR="0062796E" w:rsidRPr="0062796E" w:rsidRDefault="0062796E" w:rsidP="0062796E">
      <w:pPr>
        <w:rPr>
          <w:rFonts w:eastAsia="Times New Roman" w:cs="Times New Roman"/>
          <w:sz w:val="20"/>
          <w:szCs w:val="20"/>
        </w:rPr>
      </w:pPr>
      <w:r w:rsidRPr="0062796E">
        <w:rPr>
          <w:rFonts w:eastAsia="Times New Roman" w:cs="Times New Roman"/>
          <w:sz w:val="20"/>
          <w:szCs w:val="20"/>
        </w:rPr>
        <w:lastRenderedPageBreak/>
        <w:t>There is no opening or closing date for applications.  Internships may be offered at any time during the year. </w:t>
      </w:r>
      <w:r w:rsidR="001A5736">
        <w:rPr>
          <w:rFonts w:eastAsia="Times New Roman" w:cs="Times New Roman"/>
          <w:sz w:val="20"/>
          <w:szCs w:val="20"/>
        </w:rPr>
        <w:t>However; interns will only be replaced once a position becomes vacant.</w:t>
      </w:r>
    </w:p>
    <w:p w14:paraId="375CD097" w14:textId="77777777" w:rsidR="00A81AB5" w:rsidRPr="00A81AB5" w:rsidRDefault="00A81AB5" w:rsidP="00A81AB5">
      <w:pPr>
        <w:rPr>
          <w:rFonts w:eastAsia="Times New Roman" w:cs="Times New Roman"/>
          <w:sz w:val="20"/>
          <w:szCs w:val="20"/>
        </w:rPr>
      </w:pPr>
    </w:p>
    <w:p w14:paraId="7D822C99" w14:textId="77777777" w:rsidR="005F33C8" w:rsidRPr="00192AC0" w:rsidRDefault="005F33C8" w:rsidP="00182A75">
      <w:pPr>
        <w:rPr>
          <w:rFonts w:eastAsia="Times New Roman" w:cs="Times New Roman"/>
          <w:b/>
          <w:bCs/>
          <w:sz w:val="20"/>
          <w:szCs w:val="20"/>
          <w:lang w:eastAsia="zh-CN"/>
        </w:rPr>
      </w:pPr>
      <w:r w:rsidRPr="00192AC0">
        <w:rPr>
          <w:rFonts w:eastAsia="Times New Roman" w:cs="Times New Roman"/>
          <w:b/>
          <w:bCs/>
          <w:sz w:val="20"/>
          <w:szCs w:val="20"/>
          <w:lang w:eastAsia="zh-CN"/>
        </w:rPr>
        <w:t>Procedures</w:t>
      </w:r>
    </w:p>
    <w:p w14:paraId="4572BD36" w14:textId="77777777" w:rsidR="005F33C8" w:rsidRPr="00192AC0" w:rsidRDefault="005F33C8" w:rsidP="00182A75">
      <w:pPr>
        <w:rPr>
          <w:rFonts w:eastAsia="Times New Roman" w:cs="Times New Roman"/>
          <w:sz w:val="20"/>
          <w:szCs w:val="20"/>
          <w:lang w:eastAsia="zh-CN"/>
        </w:rPr>
      </w:pPr>
    </w:p>
    <w:p w14:paraId="2DD415AE" w14:textId="65958EE9" w:rsidR="00192AC0" w:rsidRPr="00192AC0" w:rsidRDefault="005F33C8" w:rsidP="00182A75">
      <w:pPr>
        <w:rPr>
          <w:rFonts w:eastAsia="Times New Roman" w:cs="Times New Roman"/>
          <w:sz w:val="20"/>
          <w:szCs w:val="20"/>
          <w:lang w:eastAsia="zh-CN"/>
        </w:rPr>
      </w:pPr>
      <w:r w:rsidRPr="00192AC0">
        <w:rPr>
          <w:rFonts w:eastAsia="Times New Roman" w:cs="Times New Roman"/>
          <w:sz w:val="20"/>
          <w:szCs w:val="20"/>
          <w:lang w:eastAsia="zh-CN"/>
        </w:rPr>
        <w:t>An email would be sent to Directors/TA focal points of all operational divisions (A</w:t>
      </w:r>
      <w:r w:rsidR="00442AED">
        <w:rPr>
          <w:rFonts w:eastAsia="Times New Roman" w:cs="Times New Roman"/>
          <w:sz w:val="20"/>
          <w:szCs w:val="20"/>
          <w:lang w:eastAsia="zh-CN"/>
        </w:rPr>
        <w:t>G</w:t>
      </w:r>
      <w:r w:rsidRPr="00192AC0">
        <w:rPr>
          <w:rFonts w:eastAsia="Times New Roman" w:cs="Times New Roman"/>
          <w:sz w:val="20"/>
          <w:szCs w:val="20"/>
          <w:lang w:eastAsia="zh-CN"/>
        </w:rPr>
        <w:t xml:space="preserve">CD, CTNCD, DD, ERSD, </w:t>
      </w:r>
      <w:r w:rsidR="00442AED">
        <w:rPr>
          <w:rFonts w:eastAsia="Times New Roman" w:cs="Times New Roman"/>
          <w:sz w:val="20"/>
          <w:szCs w:val="20"/>
          <w:lang w:eastAsia="zh-CN"/>
        </w:rPr>
        <w:t xml:space="preserve">IERD, </w:t>
      </w:r>
      <w:r w:rsidRPr="00192AC0">
        <w:rPr>
          <w:rFonts w:eastAsia="Times New Roman" w:cs="Times New Roman"/>
          <w:sz w:val="20"/>
          <w:szCs w:val="20"/>
          <w:lang w:eastAsia="zh-CN"/>
        </w:rPr>
        <w:t xml:space="preserve">IPD, </w:t>
      </w:r>
      <w:r w:rsidR="00442AED">
        <w:rPr>
          <w:rFonts w:eastAsia="Times New Roman" w:cs="Times New Roman"/>
          <w:sz w:val="20"/>
          <w:szCs w:val="20"/>
          <w:lang w:eastAsia="zh-CN"/>
        </w:rPr>
        <w:t xml:space="preserve">ITTC, </w:t>
      </w:r>
      <w:r w:rsidRPr="00192AC0">
        <w:rPr>
          <w:rFonts w:eastAsia="Times New Roman" w:cs="Times New Roman"/>
          <w:sz w:val="20"/>
          <w:szCs w:val="20"/>
          <w:lang w:eastAsia="zh-CN"/>
        </w:rPr>
        <w:t xml:space="preserve">LAD, MAD, RD, TPRD, TED and TSD) except the Accessions Division informing them of the programme and soliciting requests for such interns. The requests should address why </w:t>
      </w:r>
      <w:r w:rsidR="00192AC0" w:rsidRPr="00192AC0">
        <w:rPr>
          <w:rFonts w:eastAsia="Times New Roman" w:cs="Times New Roman"/>
          <w:sz w:val="20"/>
          <w:szCs w:val="20"/>
          <w:lang w:eastAsia="zh-CN"/>
        </w:rPr>
        <w:t xml:space="preserve">the division needs such an intern and the potential workplan/project that the intern would undertake. </w:t>
      </w:r>
    </w:p>
    <w:p w14:paraId="764FDDF5" w14:textId="77777777" w:rsidR="00192AC0" w:rsidRPr="00192AC0" w:rsidRDefault="00192AC0" w:rsidP="00182A75">
      <w:pPr>
        <w:rPr>
          <w:rFonts w:eastAsia="Times New Roman" w:cs="Times New Roman"/>
          <w:sz w:val="20"/>
          <w:szCs w:val="20"/>
          <w:lang w:eastAsia="zh-CN"/>
        </w:rPr>
      </w:pPr>
    </w:p>
    <w:p w14:paraId="37150DF7" w14:textId="77777777" w:rsidR="00192AC0" w:rsidRDefault="00192AC0" w:rsidP="00182A75">
      <w:pPr>
        <w:rPr>
          <w:rFonts w:eastAsia="Times New Roman" w:cs="Times New Roman"/>
          <w:sz w:val="20"/>
          <w:szCs w:val="20"/>
          <w:lang w:eastAsia="zh-CN"/>
        </w:rPr>
      </w:pPr>
      <w:r w:rsidRPr="00192AC0">
        <w:rPr>
          <w:rFonts w:eastAsia="Times New Roman" w:cs="Times New Roman"/>
          <w:sz w:val="20"/>
          <w:szCs w:val="20"/>
          <w:lang w:eastAsia="zh-CN"/>
        </w:rPr>
        <w:t>Based on these requests and organizational needs 5 divisions would be selected to host these interns.</w:t>
      </w:r>
      <w:r>
        <w:rPr>
          <w:rFonts w:eastAsia="Times New Roman" w:cs="Times New Roman"/>
          <w:sz w:val="20"/>
          <w:szCs w:val="20"/>
          <w:lang w:eastAsia="zh-CN"/>
        </w:rPr>
        <w:t xml:space="preserve"> </w:t>
      </w:r>
    </w:p>
    <w:p w14:paraId="5D9ECE32" w14:textId="77777777" w:rsidR="00192AC0" w:rsidRDefault="00192AC0" w:rsidP="00182A75">
      <w:pPr>
        <w:rPr>
          <w:rFonts w:eastAsia="Times New Roman" w:cs="Times New Roman"/>
          <w:sz w:val="20"/>
          <w:szCs w:val="20"/>
          <w:lang w:eastAsia="zh-CN"/>
        </w:rPr>
      </w:pPr>
    </w:p>
    <w:p w14:paraId="49621C35" w14:textId="77777777" w:rsidR="00192AC0" w:rsidRDefault="00192AC0" w:rsidP="00182A75">
      <w:pPr>
        <w:rPr>
          <w:rFonts w:eastAsia="Times New Roman" w:cs="Times New Roman"/>
          <w:sz w:val="20"/>
          <w:szCs w:val="20"/>
          <w:lang w:eastAsia="zh-CN"/>
        </w:rPr>
      </w:pPr>
      <w:r>
        <w:rPr>
          <w:rFonts w:eastAsia="Times New Roman" w:cs="Times New Roman"/>
          <w:sz w:val="20"/>
          <w:szCs w:val="20"/>
          <w:lang w:eastAsia="zh-CN"/>
        </w:rPr>
        <w:t>Subsequently, applications of the applicants who have identified the selected divisions as their areas of interest would be forwarded to the concerned divisions who would be asked to shortlist 2-3 candidates.</w:t>
      </w:r>
    </w:p>
    <w:p w14:paraId="781DE944" w14:textId="77777777" w:rsidR="00192AC0" w:rsidRDefault="00192AC0" w:rsidP="00182A75">
      <w:pPr>
        <w:rPr>
          <w:rFonts w:eastAsia="Times New Roman" w:cs="Times New Roman"/>
          <w:sz w:val="20"/>
          <w:szCs w:val="20"/>
          <w:lang w:eastAsia="zh-CN"/>
        </w:rPr>
      </w:pPr>
    </w:p>
    <w:p w14:paraId="0C7AD9DB" w14:textId="0A63A279" w:rsidR="00A3086B" w:rsidRDefault="00192AC0" w:rsidP="00182A75">
      <w:pPr>
        <w:rPr>
          <w:rFonts w:eastAsia="Times New Roman" w:cs="Times New Roman"/>
          <w:sz w:val="20"/>
          <w:szCs w:val="20"/>
          <w:lang w:eastAsia="zh-CN"/>
        </w:rPr>
      </w:pPr>
      <w:r>
        <w:rPr>
          <w:rFonts w:eastAsia="Times New Roman" w:cs="Times New Roman"/>
          <w:sz w:val="20"/>
          <w:szCs w:val="20"/>
          <w:lang w:eastAsia="zh-CN"/>
        </w:rPr>
        <w:t xml:space="preserve">The shortlisted candidates would be interviewed by a panel of 3 (TA </w:t>
      </w:r>
      <w:r w:rsidR="00A3086B">
        <w:rPr>
          <w:rFonts w:eastAsia="Times New Roman" w:cs="Times New Roman"/>
          <w:sz w:val="20"/>
          <w:szCs w:val="20"/>
          <w:lang w:eastAsia="zh-CN"/>
        </w:rPr>
        <w:t>Coordination Section Head, Manager of the China Programme, and Professional from the relevant division). The Traineeships Coordinator will serve as secretary to the panel.</w:t>
      </w:r>
      <w:r w:rsidR="001A5736">
        <w:rPr>
          <w:rFonts w:eastAsia="Times New Roman" w:cs="Times New Roman"/>
          <w:sz w:val="20"/>
          <w:szCs w:val="20"/>
          <w:lang w:eastAsia="zh-CN"/>
        </w:rPr>
        <w:t xml:space="preserve"> Under certain circumstances, the recruiting division may require a written exam or a writing sample. Following the interviews, the panel would make a recommendation to the </w:t>
      </w:r>
      <w:r w:rsidR="001A5736">
        <w:t>Director of ITTC for consideration/approval</w:t>
      </w:r>
      <w:r w:rsidR="001A5736">
        <w:t xml:space="preserve">. </w:t>
      </w:r>
    </w:p>
    <w:p w14:paraId="24CD7C9D" w14:textId="77777777" w:rsidR="00A3086B" w:rsidRDefault="00A3086B" w:rsidP="00182A75">
      <w:pPr>
        <w:rPr>
          <w:rFonts w:eastAsia="Times New Roman" w:cs="Times New Roman"/>
          <w:sz w:val="20"/>
          <w:szCs w:val="20"/>
          <w:lang w:eastAsia="zh-CN"/>
        </w:rPr>
      </w:pPr>
    </w:p>
    <w:p w14:paraId="328B534D" w14:textId="77777777" w:rsidR="00A3086B" w:rsidRDefault="00A3086B" w:rsidP="00182A75">
      <w:pPr>
        <w:rPr>
          <w:rFonts w:eastAsia="Times New Roman" w:cs="Times New Roman"/>
          <w:sz w:val="20"/>
          <w:szCs w:val="20"/>
          <w:lang w:eastAsia="zh-CN"/>
        </w:rPr>
      </w:pPr>
      <w:r>
        <w:rPr>
          <w:rFonts w:eastAsia="Times New Roman" w:cs="Times New Roman"/>
          <w:sz w:val="20"/>
          <w:szCs w:val="20"/>
          <w:lang w:eastAsia="zh-CN"/>
        </w:rPr>
        <w:t>HRD would be informed of the selected candidate and be asked to proceed with the recruitment.</w:t>
      </w:r>
    </w:p>
    <w:p w14:paraId="078DDFF5" w14:textId="77777777" w:rsidR="00A3086B" w:rsidRDefault="00A3086B" w:rsidP="00182A75">
      <w:pPr>
        <w:rPr>
          <w:rFonts w:eastAsia="Times New Roman" w:cs="Times New Roman"/>
          <w:sz w:val="20"/>
          <w:szCs w:val="20"/>
          <w:lang w:eastAsia="zh-CN"/>
        </w:rPr>
      </w:pPr>
    </w:p>
    <w:p w14:paraId="0544992D" w14:textId="77777777" w:rsidR="00A3086B" w:rsidRDefault="00A3086B" w:rsidP="00182A75">
      <w:pPr>
        <w:rPr>
          <w:rFonts w:eastAsia="Times New Roman" w:cs="Times New Roman"/>
          <w:b/>
          <w:bCs/>
          <w:sz w:val="20"/>
          <w:szCs w:val="20"/>
          <w:lang w:eastAsia="zh-CN"/>
        </w:rPr>
      </w:pPr>
      <w:r w:rsidRPr="00A3086B">
        <w:rPr>
          <w:rFonts w:eastAsia="Times New Roman" w:cs="Times New Roman"/>
          <w:b/>
          <w:bCs/>
          <w:sz w:val="20"/>
          <w:szCs w:val="20"/>
          <w:lang w:eastAsia="zh-CN"/>
        </w:rPr>
        <w:t xml:space="preserve">Internal procedures and monitoring  </w:t>
      </w:r>
    </w:p>
    <w:p w14:paraId="4509E4D9" w14:textId="77777777" w:rsidR="00A3086B" w:rsidRDefault="00A3086B" w:rsidP="00182A75">
      <w:pPr>
        <w:rPr>
          <w:rFonts w:eastAsia="Times New Roman" w:cs="Times New Roman"/>
          <w:b/>
          <w:bCs/>
          <w:sz w:val="20"/>
          <w:szCs w:val="20"/>
          <w:lang w:eastAsia="zh-CN"/>
        </w:rPr>
      </w:pPr>
    </w:p>
    <w:p w14:paraId="4C6CE8F1" w14:textId="60065E63" w:rsidR="00F32CAE" w:rsidRPr="00D60BC2" w:rsidRDefault="00A3086B" w:rsidP="00F32CAE">
      <w:pPr>
        <w:rPr>
          <w:rFonts w:eastAsia="Times New Roman" w:cs="Times New Roman"/>
          <w:sz w:val="20"/>
          <w:szCs w:val="20"/>
          <w:lang w:eastAsia="zh-CN"/>
        </w:rPr>
      </w:pPr>
      <w:r>
        <w:rPr>
          <w:rFonts w:eastAsia="Times New Roman" w:cs="Times New Roman"/>
          <w:sz w:val="20"/>
          <w:szCs w:val="20"/>
          <w:lang w:eastAsia="zh-CN"/>
        </w:rPr>
        <w:t>At the</w:t>
      </w:r>
      <w:r w:rsidR="00FC00BA">
        <w:rPr>
          <w:rFonts w:eastAsia="Times New Roman" w:cs="Times New Roman"/>
          <w:sz w:val="20"/>
          <w:szCs w:val="20"/>
          <w:lang w:eastAsia="zh-CN"/>
        </w:rPr>
        <w:t xml:space="preserve"> start of the cal</w:t>
      </w:r>
      <w:r w:rsidR="00C5617A">
        <w:rPr>
          <w:rFonts w:eastAsia="Times New Roman" w:cs="Times New Roman"/>
          <w:sz w:val="20"/>
          <w:szCs w:val="20"/>
          <w:lang w:eastAsia="zh-CN"/>
        </w:rPr>
        <w:t>endar year the ITTC would initiate an eAR for the five interns</w:t>
      </w:r>
      <w:r w:rsidR="00CF5F92">
        <w:rPr>
          <w:rFonts w:eastAsia="Times New Roman" w:cs="Times New Roman"/>
          <w:sz w:val="20"/>
          <w:szCs w:val="20"/>
          <w:lang w:eastAsia="zh-CN"/>
        </w:rPr>
        <w:t xml:space="preserve"> and would also be responsible for the BTORs. </w:t>
      </w:r>
      <w:r w:rsidR="00422D03">
        <w:rPr>
          <w:rFonts w:eastAsia="Times New Roman" w:cs="Times New Roman"/>
          <w:sz w:val="20"/>
          <w:szCs w:val="20"/>
          <w:lang w:eastAsia="zh-CN"/>
        </w:rPr>
        <w:t xml:space="preserve">The divisions where the interns are housed would provide an evaluation </w:t>
      </w:r>
      <w:r w:rsidR="00822F4E">
        <w:rPr>
          <w:rFonts w:eastAsia="Times New Roman" w:cs="Times New Roman"/>
          <w:sz w:val="20"/>
          <w:szCs w:val="20"/>
          <w:lang w:eastAsia="zh-CN"/>
        </w:rPr>
        <w:t xml:space="preserve">of the </w:t>
      </w:r>
      <w:r w:rsidR="001A5736">
        <w:rPr>
          <w:rFonts w:eastAsia="Times New Roman" w:cs="Times New Roman"/>
          <w:sz w:val="20"/>
          <w:szCs w:val="20"/>
          <w:lang w:eastAsia="zh-CN"/>
        </w:rPr>
        <w:t>interns'</w:t>
      </w:r>
      <w:r w:rsidR="00822F4E">
        <w:rPr>
          <w:rFonts w:eastAsia="Times New Roman" w:cs="Times New Roman"/>
          <w:sz w:val="20"/>
          <w:szCs w:val="20"/>
          <w:lang w:eastAsia="zh-CN"/>
        </w:rPr>
        <w:t xml:space="preserve"> performance at the conclusion of the internship. </w:t>
      </w:r>
      <w:r w:rsidR="006C3118">
        <w:rPr>
          <w:rFonts w:eastAsia="Times New Roman" w:cs="Times New Roman"/>
          <w:sz w:val="20"/>
          <w:szCs w:val="20"/>
          <w:lang w:eastAsia="zh-CN"/>
        </w:rPr>
        <w:t xml:space="preserve">The interns would also be required to evaluate their internships. </w:t>
      </w:r>
      <w:r w:rsidR="001E530D">
        <w:rPr>
          <w:rFonts w:eastAsia="Times New Roman" w:cs="Times New Roman"/>
          <w:sz w:val="20"/>
          <w:szCs w:val="20"/>
          <w:lang w:eastAsia="zh-CN"/>
        </w:rPr>
        <w:t>These evaluations would provide the basis of the BTOR a</w:t>
      </w:r>
      <w:r w:rsidR="00B73973">
        <w:rPr>
          <w:rFonts w:eastAsia="Times New Roman" w:cs="Times New Roman"/>
          <w:sz w:val="20"/>
          <w:szCs w:val="20"/>
          <w:lang w:eastAsia="zh-CN"/>
        </w:rPr>
        <w:t xml:space="preserve">s well as </w:t>
      </w:r>
      <w:r w:rsidR="002A45C5">
        <w:rPr>
          <w:rFonts w:eastAsia="Times New Roman" w:cs="Times New Roman"/>
          <w:sz w:val="20"/>
          <w:szCs w:val="20"/>
          <w:lang w:eastAsia="zh-CN"/>
        </w:rPr>
        <w:t xml:space="preserve">annual </w:t>
      </w:r>
      <w:r w:rsidR="00B73973">
        <w:rPr>
          <w:rFonts w:eastAsia="Times New Roman" w:cs="Times New Roman"/>
          <w:sz w:val="20"/>
          <w:szCs w:val="20"/>
          <w:lang w:eastAsia="zh-CN"/>
        </w:rPr>
        <w:t>discussion</w:t>
      </w:r>
      <w:r w:rsidR="002A45C5">
        <w:rPr>
          <w:rFonts w:eastAsia="Times New Roman" w:cs="Times New Roman"/>
          <w:sz w:val="20"/>
          <w:szCs w:val="20"/>
          <w:lang w:eastAsia="zh-CN"/>
        </w:rPr>
        <w:t>s</w:t>
      </w:r>
      <w:r w:rsidR="00B73973">
        <w:rPr>
          <w:rFonts w:eastAsia="Times New Roman" w:cs="Times New Roman"/>
          <w:sz w:val="20"/>
          <w:szCs w:val="20"/>
          <w:lang w:eastAsia="zh-CN"/>
        </w:rPr>
        <w:t xml:space="preserve"> with the Chinese </w:t>
      </w:r>
      <w:r w:rsidR="00F32CAE" w:rsidRPr="00D60BC2">
        <w:rPr>
          <w:rFonts w:eastAsia="Times New Roman" w:cs="Times New Roman"/>
          <w:sz w:val="20"/>
          <w:szCs w:val="20"/>
          <w:lang w:eastAsia="zh-CN"/>
        </w:rPr>
        <w:t xml:space="preserve">to review the operation of the internship programme and make </w:t>
      </w:r>
      <w:r w:rsidR="002C3AC7" w:rsidRPr="00D60BC2">
        <w:rPr>
          <w:rFonts w:eastAsia="Times New Roman" w:cs="Times New Roman"/>
          <w:sz w:val="20"/>
          <w:szCs w:val="20"/>
          <w:lang w:eastAsia="zh-CN"/>
        </w:rPr>
        <w:t xml:space="preserve">any </w:t>
      </w:r>
      <w:r w:rsidR="00F32CAE" w:rsidRPr="00D60BC2">
        <w:rPr>
          <w:rFonts w:eastAsia="Times New Roman" w:cs="Times New Roman"/>
          <w:sz w:val="20"/>
          <w:szCs w:val="20"/>
          <w:lang w:eastAsia="zh-CN"/>
        </w:rPr>
        <w:t>adjustments, if necessary.</w:t>
      </w:r>
    </w:p>
    <w:p w14:paraId="56FC3987" w14:textId="09314709" w:rsidR="00192AC0" w:rsidRPr="00A3086B" w:rsidRDefault="00192AC0" w:rsidP="00182A75">
      <w:pPr>
        <w:rPr>
          <w:rFonts w:eastAsia="Times New Roman" w:cs="Times New Roman"/>
          <w:b/>
          <w:bCs/>
          <w:sz w:val="20"/>
          <w:szCs w:val="20"/>
          <w:lang w:eastAsia="zh-CN"/>
        </w:rPr>
      </w:pPr>
    </w:p>
    <w:p w14:paraId="6B4DF1FC" w14:textId="77777777" w:rsidR="00192AC0" w:rsidRDefault="00192AC0" w:rsidP="00182A75">
      <w:pPr>
        <w:rPr>
          <w:rFonts w:eastAsia="Times New Roman" w:cs="Times New Roman"/>
          <w:sz w:val="20"/>
          <w:szCs w:val="20"/>
          <w:lang w:eastAsia="zh-CN"/>
        </w:rPr>
      </w:pPr>
    </w:p>
    <w:p w14:paraId="2D7CD014" w14:textId="2537DE0A" w:rsidR="00E957F8" w:rsidRPr="00192AC0" w:rsidRDefault="00192AC0" w:rsidP="00182A75">
      <w:pPr>
        <w:rPr>
          <w:rFonts w:eastAsia="Times New Roman" w:cs="Times New Roman"/>
          <w:sz w:val="20"/>
          <w:szCs w:val="20"/>
          <w:lang w:eastAsia="zh-CN"/>
        </w:rPr>
      </w:pPr>
      <w:r w:rsidRPr="00192AC0">
        <w:rPr>
          <w:rFonts w:eastAsia="Times New Roman" w:cs="Times New Roman"/>
          <w:sz w:val="20"/>
          <w:szCs w:val="20"/>
          <w:lang w:eastAsia="zh-CN"/>
        </w:rPr>
        <w:t xml:space="preserve"> </w:t>
      </w:r>
      <w:r w:rsidR="005F33C8" w:rsidRPr="00192AC0">
        <w:rPr>
          <w:rFonts w:eastAsia="Times New Roman" w:cs="Times New Roman"/>
          <w:sz w:val="20"/>
          <w:szCs w:val="20"/>
          <w:lang w:eastAsia="zh-CN"/>
        </w:rPr>
        <w:t xml:space="preserve">  </w:t>
      </w:r>
    </w:p>
    <w:p w14:paraId="3A44A80F" w14:textId="77777777" w:rsidR="005F33C8" w:rsidRPr="00192AC0" w:rsidRDefault="005F33C8" w:rsidP="00182A75">
      <w:pPr>
        <w:rPr>
          <w:rFonts w:eastAsia="Times New Roman" w:cs="Times New Roman"/>
          <w:sz w:val="20"/>
          <w:szCs w:val="20"/>
          <w:lang w:eastAsia="zh-CN"/>
        </w:rPr>
      </w:pPr>
    </w:p>
    <w:p w14:paraId="76C97393" w14:textId="77777777" w:rsidR="005F33C8" w:rsidRPr="00192AC0" w:rsidRDefault="005F33C8" w:rsidP="00182A75">
      <w:pPr>
        <w:rPr>
          <w:sz w:val="20"/>
          <w:szCs w:val="20"/>
        </w:rPr>
      </w:pPr>
    </w:p>
    <w:sectPr w:rsidR="005F33C8" w:rsidRPr="00192AC0" w:rsidSect="002A15FB">
      <w:headerReference w:type="default" r:id="rId9"/>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D0D7" w14:textId="77777777" w:rsidR="00F81E9B" w:rsidRDefault="00F81E9B" w:rsidP="00ED54E0">
      <w:r>
        <w:separator/>
      </w:r>
    </w:p>
  </w:endnote>
  <w:endnote w:type="continuationSeparator" w:id="0">
    <w:p w14:paraId="2CA6F308" w14:textId="77777777" w:rsidR="00F81E9B" w:rsidRDefault="00F81E9B"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946B" w14:textId="77777777" w:rsidR="00F81E9B" w:rsidRDefault="00F81E9B" w:rsidP="00ED54E0">
      <w:r>
        <w:separator/>
      </w:r>
    </w:p>
  </w:footnote>
  <w:footnote w:type="continuationSeparator" w:id="0">
    <w:p w14:paraId="5B734F07" w14:textId="77777777" w:rsidR="00F81E9B" w:rsidRDefault="00F81E9B"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08D7" w14:textId="77777777" w:rsidR="00A6787A" w:rsidRDefault="00A6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DA26F3"/>
    <w:multiLevelType w:val="multilevel"/>
    <w:tmpl w:val="D134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90218"/>
    <w:multiLevelType w:val="multilevel"/>
    <w:tmpl w:val="ED7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CC52177C"/>
    <w:numStyleLink w:val="LegalHeadings"/>
  </w:abstractNum>
  <w:abstractNum w:abstractNumId="16"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7"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6051334">
    <w:abstractNumId w:val="9"/>
  </w:num>
  <w:num w:numId="2" w16cid:durableId="1231503998">
    <w:abstractNumId w:val="7"/>
  </w:num>
  <w:num w:numId="3" w16cid:durableId="1967739684">
    <w:abstractNumId w:val="6"/>
  </w:num>
  <w:num w:numId="4" w16cid:durableId="72168637">
    <w:abstractNumId w:val="5"/>
  </w:num>
  <w:num w:numId="5" w16cid:durableId="340086167">
    <w:abstractNumId w:val="4"/>
  </w:num>
  <w:num w:numId="6" w16cid:durableId="1182205225">
    <w:abstractNumId w:val="16"/>
  </w:num>
  <w:num w:numId="7" w16cid:durableId="1295865260">
    <w:abstractNumId w:val="15"/>
  </w:num>
  <w:num w:numId="8" w16cid:durableId="805586851">
    <w:abstractNumId w:val="14"/>
  </w:num>
  <w:num w:numId="9" w16cid:durableId="13895759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542413">
    <w:abstractNumId w:val="17"/>
  </w:num>
  <w:num w:numId="11" w16cid:durableId="11810538">
    <w:abstractNumId w:val="8"/>
  </w:num>
  <w:num w:numId="12" w16cid:durableId="238757986">
    <w:abstractNumId w:val="3"/>
  </w:num>
  <w:num w:numId="13" w16cid:durableId="1398743854">
    <w:abstractNumId w:val="2"/>
  </w:num>
  <w:num w:numId="14" w16cid:durableId="1204097025">
    <w:abstractNumId w:val="1"/>
  </w:num>
  <w:num w:numId="15" w16cid:durableId="270822767">
    <w:abstractNumId w:val="0"/>
  </w:num>
  <w:num w:numId="16" w16cid:durableId="1790397538">
    <w:abstractNumId w:val="10"/>
  </w:num>
  <w:num w:numId="17" w16cid:durableId="984817311">
    <w:abstractNumId w:val="14"/>
  </w:num>
  <w:num w:numId="18" w16cid:durableId="1077674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236388">
    <w:abstractNumId w:val="12"/>
  </w:num>
  <w:num w:numId="20" w16cid:durableId="1973630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F8"/>
    <w:rsid w:val="000106E0"/>
    <w:rsid w:val="000111BB"/>
    <w:rsid w:val="00022C0F"/>
    <w:rsid w:val="000272F6"/>
    <w:rsid w:val="00037AC4"/>
    <w:rsid w:val="000423BF"/>
    <w:rsid w:val="000A4945"/>
    <w:rsid w:val="000B31E1"/>
    <w:rsid w:val="0011356B"/>
    <w:rsid w:val="00130764"/>
    <w:rsid w:val="0013337F"/>
    <w:rsid w:val="00182A75"/>
    <w:rsid w:val="00182B84"/>
    <w:rsid w:val="00192AC0"/>
    <w:rsid w:val="001946F2"/>
    <w:rsid w:val="001A5736"/>
    <w:rsid w:val="001D0F5C"/>
    <w:rsid w:val="001E291F"/>
    <w:rsid w:val="001E530D"/>
    <w:rsid w:val="00233408"/>
    <w:rsid w:val="00237417"/>
    <w:rsid w:val="0027067B"/>
    <w:rsid w:val="00281C4C"/>
    <w:rsid w:val="002A15FB"/>
    <w:rsid w:val="002A45C5"/>
    <w:rsid w:val="002A6940"/>
    <w:rsid w:val="002C3AC7"/>
    <w:rsid w:val="002E249B"/>
    <w:rsid w:val="00304385"/>
    <w:rsid w:val="00311BE2"/>
    <w:rsid w:val="00320249"/>
    <w:rsid w:val="003572B4"/>
    <w:rsid w:val="003616BF"/>
    <w:rsid w:val="00371F2B"/>
    <w:rsid w:val="00383F10"/>
    <w:rsid w:val="003D426F"/>
    <w:rsid w:val="00422D03"/>
    <w:rsid w:val="00442AED"/>
    <w:rsid w:val="004551EC"/>
    <w:rsid w:val="00467032"/>
    <w:rsid w:val="0046754A"/>
    <w:rsid w:val="004A31FF"/>
    <w:rsid w:val="004C4DDD"/>
    <w:rsid w:val="004F203A"/>
    <w:rsid w:val="00512FF5"/>
    <w:rsid w:val="005336B8"/>
    <w:rsid w:val="00544FE3"/>
    <w:rsid w:val="005917B1"/>
    <w:rsid w:val="005B04B9"/>
    <w:rsid w:val="005B6490"/>
    <w:rsid w:val="005B68C7"/>
    <w:rsid w:val="005B7054"/>
    <w:rsid w:val="005D0152"/>
    <w:rsid w:val="005D5981"/>
    <w:rsid w:val="005F30CB"/>
    <w:rsid w:val="005F33C8"/>
    <w:rsid w:val="00612644"/>
    <w:rsid w:val="0062796E"/>
    <w:rsid w:val="00674CCD"/>
    <w:rsid w:val="006A18DC"/>
    <w:rsid w:val="006C3118"/>
    <w:rsid w:val="006D6742"/>
    <w:rsid w:val="006E3654"/>
    <w:rsid w:val="006F5826"/>
    <w:rsid w:val="00700181"/>
    <w:rsid w:val="007141CF"/>
    <w:rsid w:val="00745146"/>
    <w:rsid w:val="0074635B"/>
    <w:rsid w:val="0075384E"/>
    <w:rsid w:val="007577E3"/>
    <w:rsid w:val="00760DB3"/>
    <w:rsid w:val="00767204"/>
    <w:rsid w:val="0079332A"/>
    <w:rsid w:val="007C3936"/>
    <w:rsid w:val="007C79F0"/>
    <w:rsid w:val="007E6507"/>
    <w:rsid w:val="007F2B8E"/>
    <w:rsid w:val="007F2DB0"/>
    <w:rsid w:val="00801CBB"/>
    <w:rsid w:val="00807247"/>
    <w:rsid w:val="00822F4E"/>
    <w:rsid w:val="00840C2B"/>
    <w:rsid w:val="00850889"/>
    <w:rsid w:val="008739FD"/>
    <w:rsid w:val="008A10F9"/>
    <w:rsid w:val="008A7BB6"/>
    <w:rsid w:val="008C42C8"/>
    <w:rsid w:val="008E372C"/>
    <w:rsid w:val="00917453"/>
    <w:rsid w:val="00920FD4"/>
    <w:rsid w:val="00947C09"/>
    <w:rsid w:val="009A6F54"/>
    <w:rsid w:val="009A7E67"/>
    <w:rsid w:val="009B0823"/>
    <w:rsid w:val="00A3086B"/>
    <w:rsid w:val="00A53DCE"/>
    <w:rsid w:val="00A6057A"/>
    <w:rsid w:val="00A63124"/>
    <w:rsid w:val="00A6787A"/>
    <w:rsid w:val="00A74017"/>
    <w:rsid w:val="00A81AB5"/>
    <w:rsid w:val="00A97A1E"/>
    <w:rsid w:val="00AA332C"/>
    <w:rsid w:val="00AC24C7"/>
    <w:rsid w:val="00AC27F8"/>
    <w:rsid w:val="00AD4C72"/>
    <w:rsid w:val="00AE20ED"/>
    <w:rsid w:val="00AE2AEE"/>
    <w:rsid w:val="00B1394B"/>
    <w:rsid w:val="00B230EC"/>
    <w:rsid w:val="00B415B8"/>
    <w:rsid w:val="00B42FE2"/>
    <w:rsid w:val="00B50DC4"/>
    <w:rsid w:val="00B56EDC"/>
    <w:rsid w:val="00B67C16"/>
    <w:rsid w:val="00B73973"/>
    <w:rsid w:val="00BB1F84"/>
    <w:rsid w:val="00BE5468"/>
    <w:rsid w:val="00C11EAC"/>
    <w:rsid w:val="00C305D7"/>
    <w:rsid w:val="00C30F2A"/>
    <w:rsid w:val="00C43456"/>
    <w:rsid w:val="00C5617A"/>
    <w:rsid w:val="00C651D0"/>
    <w:rsid w:val="00C65C0C"/>
    <w:rsid w:val="00C808FC"/>
    <w:rsid w:val="00CC5DCA"/>
    <w:rsid w:val="00CD7D97"/>
    <w:rsid w:val="00CE3EE6"/>
    <w:rsid w:val="00CE4BA1"/>
    <w:rsid w:val="00CF5F92"/>
    <w:rsid w:val="00D000C7"/>
    <w:rsid w:val="00D52A9D"/>
    <w:rsid w:val="00D55AAD"/>
    <w:rsid w:val="00D60BC2"/>
    <w:rsid w:val="00D747AE"/>
    <w:rsid w:val="00D9226C"/>
    <w:rsid w:val="00DA20BD"/>
    <w:rsid w:val="00DE50DB"/>
    <w:rsid w:val="00DF6AE1"/>
    <w:rsid w:val="00E46FD5"/>
    <w:rsid w:val="00E544BB"/>
    <w:rsid w:val="00E56545"/>
    <w:rsid w:val="00E85004"/>
    <w:rsid w:val="00E957F8"/>
    <w:rsid w:val="00EA5D4F"/>
    <w:rsid w:val="00EB6C56"/>
    <w:rsid w:val="00EB6F21"/>
    <w:rsid w:val="00EC3672"/>
    <w:rsid w:val="00ED54E0"/>
    <w:rsid w:val="00EE3842"/>
    <w:rsid w:val="00F01C13"/>
    <w:rsid w:val="00F32397"/>
    <w:rsid w:val="00F32CAE"/>
    <w:rsid w:val="00F40595"/>
    <w:rsid w:val="00F81E9B"/>
    <w:rsid w:val="00FA5EBC"/>
    <w:rsid w:val="00FC00BA"/>
    <w:rsid w:val="00FD224A"/>
    <w:rsid w:val="00FD6CF3"/>
    <w:rsid w:val="00FD79BF"/>
    <w:rsid w:val="00FF4616"/>
    <w:rsid w:val="00FF4B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769FD"/>
  <w15:chartTrackingRefBased/>
  <w15:docId w15:val="{23A9CA6A-C673-4E66-B76A-B4FF498E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7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jc w:val="left"/>
    </w:pPr>
    <w:rPr>
      <w:sz w:val="16"/>
    </w:rPr>
  </w:style>
  <w:style w:type="character" w:styleId="UnresolvedMention">
    <w:name w:val="Unresolved Mention"/>
    <w:basedOn w:val="DefaultParagraphFont"/>
    <w:uiPriority w:val="99"/>
    <w:semiHidden/>
    <w:unhideWhenUsed/>
    <w:rsid w:val="0062796E"/>
    <w:rPr>
      <w:color w:val="605E5C"/>
      <w:shd w:val="clear" w:color="auto" w:fill="E1DFDD"/>
    </w:rPr>
  </w:style>
  <w:style w:type="paragraph" w:styleId="Revision">
    <w:name w:val="Revision"/>
    <w:hidden/>
    <w:uiPriority w:val="99"/>
    <w:semiHidden/>
    <w:rsid w:val="00442AED"/>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4086">
      <w:bodyDiv w:val="1"/>
      <w:marLeft w:val="0"/>
      <w:marRight w:val="0"/>
      <w:marTop w:val="0"/>
      <w:marBottom w:val="0"/>
      <w:divBdr>
        <w:top w:val="none" w:sz="0" w:space="0" w:color="auto"/>
        <w:left w:val="none" w:sz="0" w:space="0" w:color="auto"/>
        <w:bottom w:val="none" w:sz="0" w:space="0" w:color="auto"/>
        <w:right w:val="none" w:sz="0" w:space="0" w:color="auto"/>
      </w:divBdr>
    </w:div>
    <w:div w:id="947397123">
      <w:bodyDiv w:val="1"/>
      <w:marLeft w:val="0"/>
      <w:marRight w:val="0"/>
      <w:marTop w:val="0"/>
      <w:marBottom w:val="0"/>
      <w:divBdr>
        <w:top w:val="none" w:sz="0" w:space="0" w:color="auto"/>
        <w:left w:val="none" w:sz="0" w:space="0" w:color="auto"/>
        <w:bottom w:val="none" w:sz="0" w:space="0" w:color="auto"/>
        <w:right w:val="none" w:sz="0" w:space="0" w:color="auto"/>
      </w:divBdr>
    </w:div>
    <w:div w:id="1438871452">
      <w:bodyDiv w:val="1"/>
      <w:marLeft w:val="0"/>
      <w:marRight w:val="0"/>
      <w:marTop w:val="0"/>
      <w:marBottom w:val="0"/>
      <w:divBdr>
        <w:top w:val="none" w:sz="0" w:space="0" w:color="auto"/>
        <w:left w:val="none" w:sz="0" w:space="0" w:color="auto"/>
        <w:bottom w:val="none" w:sz="0" w:space="0" w:color="auto"/>
        <w:right w:val="none" w:sz="0" w:space="0" w:color="auto"/>
      </w:divBdr>
    </w:div>
    <w:div w:id="15616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naInternship@wto.org" TargetMode="External"/><Relationship Id="rId3" Type="http://schemas.openxmlformats.org/officeDocument/2006/relationships/settings" Target="settings.xml"/><Relationship Id="rId7" Type="http://schemas.openxmlformats.org/officeDocument/2006/relationships/hyperlink" Target="https://wto.wd3.myworkdayjobs.com/Exter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4298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Khilji, Usman Ali</dc:creator>
  <cp:keywords/>
  <dc:description/>
  <cp:lastModifiedBy>Khilji, Usman Ali</cp:lastModifiedBy>
  <cp:revision>2</cp:revision>
  <dcterms:created xsi:type="dcterms:W3CDTF">2024-01-24T13:48:00Z</dcterms:created>
  <dcterms:modified xsi:type="dcterms:W3CDTF">2024-01-24T13:48:00Z</dcterms:modified>
</cp:coreProperties>
</file>