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AF21" w14:textId="77777777" w:rsidR="00AB3C37" w:rsidRDefault="00AB3C37" w:rsidP="008A7BB6"/>
    <w:p w14:paraId="25466366" w14:textId="77777777" w:rsidR="00411AB8" w:rsidRDefault="00411AB8" w:rsidP="008A7BB6"/>
    <w:p w14:paraId="186014CD" w14:textId="77777777" w:rsidR="00411AB8" w:rsidRDefault="00411AB8" w:rsidP="008A7BB6"/>
    <w:p w14:paraId="01380230" w14:textId="468FD61A" w:rsidR="00526567" w:rsidRDefault="004A4D9A" w:rsidP="0032025C">
      <w:pPr>
        <w:pStyle w:val="Title"/>
      </w:pPr>
      <w:r>
        <w:rPr>
          <w:rStyle w:val="ui-provider"/>
        </w:rPr>
        <w:t xml:space="preserve">Experience sharing on </w:t>
      </w:r>
      <w:r w:rsidR="00990984">
        <w:rPr>
          <w:rStyle w:val="ui-provider"/>
        </w:rPr>
        <w:t xml:space="preserve">TBT </w:t>
      </w:r>
      <w:r w:rsidR="00653A80">
        <w:rPr>
          <w:rStyle w:val="ui-provider"/>
        </w:rPr>
        <w:t>technical assistance and Committee engagement</w:t>
      </w:r>
    </w:p>
    <w:p w14:paraId="28C3334D" w14:textId="77777777" w:rsidR="0032025C" w:rsidRDefault="0032025C" w:rsidP="00526567">
      <w:pPr>
        <w:jc w:val="center"/>
        <w:rPr>
          <w:color w:val="FF0000"/>
        </w:rPr>
      </w:pPr>
    </w:p>
    <w:p w14:paraId="2C651B4F" w14:textId="3F2C7CF9" w:rsidR="00CB3B87" w:rsidRPr="00CB3B87" w:rsidRDefault="00CB3B87" w:rsidP="00526567">
      <w:pPr>
        <w:jc w:val="center"/>
        <w:rPr>
          <w:color w:val="FF0000"/>
        </w:rPr>
      </w:pPr>
      <w:r w:rsidRPr="00CB3B87">
        <w:rPr>
          <w:color w:val="FF0000"/>
        </w:rPr>
        <w:t>DRAFT PROGRAMME</w:t>
      </w:r>
      <w:r w:rsidR="00803217">
        <w:rPr>
          <w:color w:val="FF0000"/>
        </w:rPr>
        <w:t xml:space="preserve"> </w:t>
      </w:r>
    </w:p>
    <w:p w14:paraId="08F82948" w14:textId="7875FCD3" w:rsidR="001624EB" w:rsidRDefault="001624EB" w:rsidP="005C0688"/>
    <w:p w14:paraId="2B0A4AFE" w14:textId="77777777" w:rsidR="00CA01B7" w:rsidRDefault="00CA01B7" w:rsidP="005C0688">
      <w:pPr>
        <w:rPr>
          <w:b/>
          <w:bCs/>
        </w:rPr>
      </w:pPr>
    </w:p>
    <w:p w14:paraId="03FD664A" w14:textId="77777777" w:rsidR="0091678A" w:rsidRDefault="0091678A" w:rsidP="005C0688"/>
    <w:p w14:paraId="093E076A" w14:textId="77777777" w:rsidR="00C73812" w:rsidRDefault="0091678A" w:rsidP="006047BB">
      <w:pPr>
        <w:jc w:val="center"/>
        <w:rPr>
          <w:b/>
          <w:bCs/>
        </w:rPr>
      </w:pPr>
      <w:r w:rsidRPr="004C4738">
        <w:rPr>
          <w:b/>
          <w:bCs/>
        </w:rPr>
        <w:t xml:space="preserve">Tuesday, </w:t>
      </w:r>
      <w:r w:rsidR="004C4738" w:rsidRPr="004C4738">
        <w:rPr>
          <w:b/>
          <w:bCs/>
        </w:rPr>
        <w:t>5 November</w:t>
      </w:r>
    </w:p>
    <w:p w14:paraId="7901502C" w14:textId="77777777" w:rsidR="00C73812" w:rsidRDefault="00C73812" w:rsidP="006047BB">
      <w:pPr>
        <w:jc w:val="center"/>
        <w:rPr>
          <w:b/>
          <w:bCs/>
        </w:rPr>
      </w:pPr>
    </w:p>
    <w:p w14:paraId="4926A84E" w14:textId="1657819B" w:rsidR="0091678A" w:rsidRPr="004C4738" w:rsidRDefault="00990984" w:rsidP="006047BB">
      <w:pPr>
        <w:jc w:val="center"/>
        <w:rPr>
          <w:b/>
          <w:bCs/>
        </w:rPr>
      </w:pPr>
      <w:r>
        <w:rPr>
          <w:b/>
          <w:bCs/>
        </w:rPr>
        <w:t xml:space="preserve">Information session: </w:t>
      </w:r>
      <w:r w:rsidR="003A2A38">
        <w:rPr>
          <w:b/>
          <w:bCs/>
        </w:rPr>
        <w:t>Experience sharing on</w:t>
      </w:r>
      <w:r w:rsidR="00871343">
        <w:rPr>
          <w:b/>
          <w:bCs/>
        </w:rPr>
        <w:t xml:space="preserve"> TBT</w:t>
      </w:r>
      <w:r w:rsidR="003A2A38">
        <w:rPr>
          <w:b/>
          <w:bCs/>
        </w:rPr>
        <w:t xml:space="preserve"> transparency and coordination</w:t>
      </w:r>
      <w:r w:rsidR="00463CD1">
        <w:rPr>
          <w:b/>
          <w:bCs/>
        </w:rPr>
        <w:t xml:space="preserve"> mechanisms</w:t>
      </w:r>
    </w:p>
    <w:p w14:paraId="7871C81A" w14:textId="77777777" w:rsidR="00A02846" w:rsidRDefault="00A02846" w:rsidP="005C0688"/>
    <w:p w14:paraId="7E640C0E" w14:textId="5FBA5C29" w:rsidR="00CB3B87" w:rsidRDefault="00AB3C37" w:rsidP="00C16050">
      <w:pPr>
        <w:rPr>
          <w:b/>
          <w:bCs/>
        </w:rPr>
      </w:pPr>
      <w:r>
        <w:t xml:space="preserve">This </w:t>
      </w:r>
      <w:r w:rsidR="0032025C">
        <w:t>information session will give Members</w:t>
      </w:r>
      <w:r w:rsidR="00D24621">
        <w:t xml:space="preserve"> and invited experts</w:t>
      </w:r>
      <w:r w:rsidR="0032025C">
        <w:t xml:space="preserve"> </w:t>
      </w:r>
      <w:r w:rsidR="00793D0E">
        <w:t>an</w:t>
      </w:r>
      <w:r w:rsidR="00C16050">
        <w:t xml:space="preserve"> opportunity to share experiences on </w:t>
      </w:r>
      <w:r w:rsidR="00FF4E3E">
        <w:t xml:space="preserve">the </w:t>
      </w:r>
      <w:r w:rsidR="00090EE8">
        <w:t>role</w:t>
      </w:r>
      <w:r w:rsidR="001E1C3E">
        <w:t xml:space="preserve"> and importance</w:t>
      </w:r>
      <w:r w:rsidR="00437AA7">
        <w:t xml:space="preserve"> of </w:t>
      </w:r>
      <w:r w:rsidR="004E2A1E">
        <w:t>domestic</w:t>
      </w:r>
      <w:r w:rsidR="00C16050">
        <w:t xml:space="preserve"> coordination </w:t>
      </w:r>
      <w:r w:rsidR="00793D0E">
        <w:t>in</w:t>
      </w:r>
      <w:r w:rsidR="00C16050">
        <w:t xml:space="preserve"> </w:t>
      </w:r>
      <w:r w:rsidR="004260A9">
        <w:t>engaging</w:t>
      </w:r>
      <w:r w:rsidR="00437AA7">
        <w:t xml:space="preserve"> effectively</w:t>
      </w:r>
      <w:r w:rsidR="004260A9">
        <w:t xml:space="preserve"> in TBT transparency mec</w:t>
      </w:r>
      <w:r w:rsidR="00437AA7">
        <w:t>hanisms and Committee work</w:t>
      </w:r>
      <w:r w:rsidR="008D0EA0">
        <w:t xml:space="preserve">. </w:t>
      </w:r>
      <w:r w:rsidR="00C16050">
        <w:t xml:space="preserve"> </w:t>
      </w:r>
    </w:p>
    <w:p w14:paraId="628E29D6" w14:textId="77777777" w:rsidR="00373B87" w:rsidRDefault="00373B87" w:rsidP="00373B87">
      <w:pPr>
        <w:jc w:val="center"/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756"/>
        <w:gridCol w:w="4768"/>
        <w:gridCol w:w="3492"/>
      </w:tblGrid>
      <w:tr w:rsidR="00373B87" w:rsidRPr="00C66285" w14:paraId="23B618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" w:type="dxa"/>
          </w:tcPr>
          <w:p w14:paraId="02E7DAB3" w14:textId="77777777" w:rsidR="00373B87" w:rsidRPr="00C66285" w:rsidRDefault="00373B87" w:rsidP="0032025C">
            <w:pPr>
              <w:spacing w:before="240" w:after="240"/>
              <w:jc w:val="center"/>
            </w:pPr>
            <w:bookmarkStart w:id="0" w:name="_Hlk124346242"/>
            <w:r w:rsidRPr="00C66285">
              <w:t>Time</w:t>
            </w:r>
          </w:p>
        </w:tc>
        <w:tc>
          <w:tcPr>
            <w:tcW w:w="4768" w:type="dxa"/>
          </w:tcPr>
          <w:p w14:paraId="13BDC458" w14:textId="77777777" w:rsidR="00373B87" w:rsidRPr="00C66285" w:rsidRDefault="00373B87" w:rsidP="0032025C">
            <w:pPr>
              <w:spacing w:before="240" w:after="240"/>
              <w:jc w:val="center"/>
            </w:pPr>
            <w:r w:rsidRPr="00C66285">
              <w:t>Session</w:t>
            </w:r>
          </w:p>
        </w:tc>
        <w:tc>
          <w:tcPr>
            <w:tcW w:w="3492" w:type="dxa"/>
          </w:tcPr>
          <w:p w14:paraId="72222A1A" w14:textId="77777777" w:rsidR="00373B87" w:rsidRPr="00C66285" w:rsidRDefault="00373B87" w:rsidP="0032025C">
            <w:pPr>
              <w:spacing w:before="240" w:after="240"/>
              <w:jc w:val="center"/>
            </w:pPr>
            <w:r w:rsidRPr="00C66285">
              <w:t>Speakers</w:t>
            </w:r>
          </w:p>
        </w:tc>
      </w:tr>
      <w:tr w:rsidR="00373B87" w:rsidRPr="00F14136" w14:paraId="4E6647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1BE5969B" w14:textId="1076D209" w:rsidR="00373B87" w:rsidRPr="00F14136" w:rsidRDefault="0032025C" w:rsidP="0032025C">
            <w:pPr>
              <w:spacing w:before="240" w:after="240"/>
              <w:jc w:val="center"/>
            </w:pPr>
            <w:r>
              <w:t>13:15</w:t>
            </w:r>
          </w:p>
        </w:tc>
        <w:tc>
          <w:tcPr>
            <w:tcW w:w="4768" w:type="dxa"/>
          </w:tcPr>
          <w:p w14:paraId="205ACDAE" w14:textId="3598D0EF" w:rsidR="00373B87" w:rsidRPr="0032025C" w:rsidRDefault="0032025C" w:rsidP="0032025C">
            <w:pPr>
              <w:spacing w:before="240" w:after="2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Setting the scene</w:t>
            </w:r>
          </w:p>
        </w:tc>
        <w:tc>
          <w:tcPr>
            <w:tcW w:w="3492" w:type="dxa"/>
          </w:tcPr>
          <w:p w14:paraId="1A37167C" w14:textId="39937B77" w:rsidR="0032025C" w:rsidRPr="00F14136" w:rsidRDefault="0032025C" w:rsidP="00A65FB3">
            <w:pPr>
              <w:spacing w:before="240" w:after="240"/>
              <w:jc w:val="left"/>
            </w:pPr>
            <w:r>
              <w:t>WTO Secretariat</w:t>
            </w:r>
          </w:p>
        </w:tc>
      </w:tr>
      <w:tr w:rsidR="00373B87" w:rsidRPr="003844C8" w14:paraId="18C88D5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44D1B2AC" w14:textId="71095230" w:rsidR="00373B87" w:rsidRPr="00F14136" w:rsidRDefault="0032025C" w:rsidP="0032025C">
            <w:pPr>
              <w:spacing w:before="240" w:after="240"/>
              <w:jc w:val="left"/>
            </w:pPr>
            <w:r>
              <w:t>13:30</w:t>
            </w:r>
          </w:p>
        </w:tc>
        <w:tc>
          <w:tcPr>
            <w:tcW w:w="4768" w:type="dxa"/>
          </w:tcPr>
          <w:p w14:paraId="421EBBE5" w14:textId="026ACE60" w:rsidR="00373B87" w:rsidRPr="00F14136" w:rsidRDefault="0032025C" w:rsidP="0032025C">
            <w:pPr>
              <w:spacing w:before="240" w:after="2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Domestic coordination – Kenya's experience</w:t>
            </w:r>
          </w:p>
        </w:tc>
        <w:tc>
          <w:tcPr>
            <w:tcW w:w="3492" w:type="dxa"/>
          </w:tcPr>
          <w:p w14:paraId="301B0CD8" w14:textId="13CC7A57" w:rsidR="00373B87" w:rsidRPr="00F14136" w:rsidRDefault="0032025C" w:rsidP="0032025C">
            <w:pPr>
              <w:spacing w:before="240" w:after="240"/>
              <w:jc w:val="left"/>
            </w:pPr>
            <w:r>
              <w:t xml:space="preserve">Lucy </w:t>
            </w:r>
            <w:proofErr w:type="spellStart"/>
            <w:r>
              <w:t>Ikonya</w:t>
            </w:r>
            <w:proofErr w:type="spellEnd"/>
            <w:r>
              <w:t>, Kenya Bureau of Standards</w:t>
            </w:r>
          </w:p>
        </w:tc>
      </w:tr>
      <w:tr w:rsidR="00A65FB3" w:rsidRPr="003844C8" w14:paraId="1F3B29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6EB1FCDD" w14:textId="5E6694D3" w:rsidR="00A65FB3" w:rsidRDefault="00667A5D" w:rsidP="0032025C">
            <w:pPr>
              <w:spacing w:before="240" w:after="240"/>
              <w:jc w:val="left"/>
            </w:pPr>
            <w:r>
              <w:t>1</w:t>
            </w:r>
            <w:r w:rsidR="008D0EA0">
              <w:t>3:50</w:t>
            </w:r>
          </w:p>
        </w:tc>
        <w:tc>
          <w:tcPr>
            <w:tcW w:w="4768" w:type="dxa"/>
          </w:tcPr>
          <w:p w14:paraId="3D3EA0F9" w14:textId="0DDC9962" w:rsidR="00A65FB3" w:rsidRDefault="004E2A1E" w:rsidP="0032025C">
            <w:pPr>
              <w:spacing w:before="240" w:after="2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Domestic </w:t>
            </w:r>
            <w:r w:rsidR="008D0EA0">
              <w:rPr>
                <w:b/>
                <w:bCs/>
              </w:rPr>
              <w:t>coordination – Namibia's experience</w:t>
            </w:r>
          </w:p>
        </w:tc>
        <w:tc>
          <w:tcPr>
            <w:tcW w:w="3492" w:type="dxa"/>
          </w:tcPr>
          <w:p w14:paraId="26B23F82" w14:textId="4B327D54" w:rsidR="00A65FB3" w:rsidRPr="00A65FB3" w:rsidRDefault="008D0EA0" w:rsidP="0032025C">
            <w:pPr>
              <w:spacing w:before="240" w:after="240"/>
              <w:jc w:val="left"/>
            </w:pPr>
            <w:r>
              <w:t>Lahya Hambinga, Namibian Standards Institution</w:t>
            </w:r>
          </w:p>
        </w:tc>
      </w:tr>
      <w:tr w:rsidR="00373B87" w:rsidRPr="003844C8" w14:paraId="2B830E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60E31866" w14:textId="4560D4F8" w:rsidR="00373B87" w:rsidRPr="00F14136" w:rsidRDefault="00E21FE6" w:rsidP="0032025C">
            <w:pPr>
              <w:spacing w:before="240" w:after="240"/>
              <w:jc w:val="left"/>
            </w:pPr>
            <w:r>
              <w:t xml:space="preserve">14:10 </w:t>
            </w:r>
          </w:p>
        </w:tc>
        <w:tc>
          <w:tcPr>
            <w:tcW w:w="4768" w:type="dxa"/>
          </w:tcPr>
          <w:p w14:paraId="4459B649" w14:textId="0C6DF6EF" w:rsidR="00373B87" w:rsidRPr="00840E51" w:rsidRDefault="002053DE" w:rsidP="0032025C">
            <w:pPr>
              <w:spacing w:before="240" w:after="240"/>
              <w:jc w:val="left"/>
              <w:rPr>
                <w:b/>
                <w:bCs/>
              </w:rPr>
            </w:pPr>
            <w:r w:rsidRPr="00840E51">
              <w:rPr>
                <w:b/>
                <w:bCs/>
              </w:rPr>
              <w:t>ePing's role in domestic coordination</w:t>
            </w:r>
          </w:p>
        </w:tc>
        <w:tc>
          <w:tcPr>
            <w:tcW w:w="3492" w:type="dxa"/>
          </w:tcPr>
          <w:p w14:paraId="40B2EEE1" w14:textId="6AE1C376" w:rsidR="00373B87" w:rsidRPr="00840E51" w:rsidRDefault="00840E51" w:rsidP="0032025C">
            <w:pPr>
              <w:spacing w:before="240" w:after="240"/>
              <w:jc w:val="left"/>
            </w:pPr>
            <w:r w:rsidRPr="00840E51">
              <w:t>WTO Secretariat, Kenya, Namibia</w:t>
            </w:r>
          </w:p>
        </w:tc>
      </w:tr>
      <w:tr w:rsidR="00373B87" w:rsidRPr="00C66285" w14:paraId="6487D4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5DDD5DE4" w14:textId="14E19AE6" w:rsidR="00373B87" w:rsidRPr="00F14136" w:rsidRDefault="0032025C" w:rsidP="0032025C">
            <w:pPr>
              <w:spacing w:before="240" w:after="240"/>
              <w:jc w:val="left"/>
            </w:pPr>
            <w:r>
              <w:t>14:</w:t>
            </w:r>
            <w:r w:rsidR="00840E51">
              <w:t>3</w:t>
            </w:r>
            <w:r w:rsidR="00A65FB3">
              <w:t>0</w:t>
            </w:r>
          </w:p>
        </w:tc>
        <w:tc>
          <w:tcPr>
            <w:tcW w:w="4768" w:type="dxa"/>
          </w:tcPr>
          <w:p w14:paraId="7DCBA551" w14:textId="322455CA" w:rsidR="0032025C" w:rsidRPr="00DF48FE" w:rsidRDefault="006B1B68" w:rsidP="00A65FB3">
            <w:pPr>
              <w:spacing w:before="240" w:after="2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Q&amp;A and group discussion </w:t>
            </w:r>
          </w:p>
        </w:tc>
        <w:tc>
          <w:tcPr>
            <w:tcW w:w="3492" w:type="dxa"/>
          </w:tcPr>
          <w:p w14:paraId="089202F3" w14:textId="6F9F3EA0" w:rsidR="00373B87" w:rsidRPr="00527300" w:rsidRDefault="00373B87" w:rsidP="0032025C">
            <w:pPr>
              <w:spacing w:before="240" w:after="240"/>
              <w:jc w:val="left"/>
            </w:pPr>
          </w:p>
        </w:tc>
      </w:tr>
      <w:tr w:rsidR="00373B87" w:rsidRPr="00C66285" w14:paraId="07C3FA6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49F9DDF5" w14:textId="4829FE83" w:rsidR="00373B87" w:rsidRDefault="00DF48FE" w:rsidP="0032025C">
            <w:pPr>
              <w:spacing w:before="240" w:after="240"/>
              <w:jc w:val="left"/>
            </w:pPr>
            <w:r>
              <w:t xml:space="preserve">14.50 </w:t>
            </w:r>
          </w:p>
        </w:tc>
        <w:tc>
          <w:tcPr>
            <w:tcW w:w="4768" w:type="dxa"/>
          </w:tcPr>
          <w:p w14:paraId="4989B242" w14:textId="7D97475E" w:rsidR="00373B87" w:rsidRPr="00526567" w:rsidRDefault="006B1B68" w:rsidP="0032025C">
            <w:pPr>
              <w:spacing w:before="240" w:after="2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Wrap up </w:t>
            </w:r>
          </w:p>
        </w:tc>
        <w:tc>
          <w:tcPr>
            <w:tcW w:w="3492" w:type="dxa"/>
          </w:tcPr>
          <w:p w14:paraId="42887381" w14:textId="7F2A1F6A" w:rsidR="00373B87" w:rsidRPr="00527300" w:rsidRDefault="004E2A1E" w:rsidP="0032025C">
            <w:pPr>
              <w:spacing w:before="240" w:after="240"/>
              <w:jc w:val="left"/>
            </w:pPr>
            <w:r>
              <w:t>WTO Secretariat</w:t>
            </w:r>
          </w:p>
        </w:tc>
      </w:tr>
      <w:bookmarkEnd w:id="0"/>
    </w:tbl>
    <w:p w14:paraId="28FD7448" w14:textId="2559FF54" w:rsidR="00373B87" w:rsidRDefault="00373B87" w:rsidP="00CD41C7">
      <w:pPr>
        <w:rPr>
          <w:b/>
          <w:bCs/>
        </w:rPr>
      </w:pPr>
    </w:p>
    <w:p w14:paraId="2ACA08E1" w14:textId="0D1C7781" w:rsidR="0041571A" w:rsidRDefault="0041571A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29E0F30" w14:textId="27E24012" w:rsidR="003F029B" w:rsidRDefault="00A7277B" w:rsidP="006047BB">
      <w:pPr>
        <w:jc w:val="center"/>
        <w:rPr>
          <w:b/>
          <w:bCs/>
        </w:rPr>
      </w:pPr>
      <w:r>
        <w:rPr>
          <w:b/>
          <w:bCs/>
        </w:rPr>
        <w:lastRenderedPageBreak/>
        <w:t>Thursday, 6 November</w:t>
      </w:r>
    </w:p>
    <w:p w14:paraId="3E531741" w14:textId="77777777" w:rsidR="003F029B" w:rsidRDefault="003F029B" w:rsidP="006047BB">
      <w:pPr>
        <w:jc w:val="center"/>
        <w:rPr>
          <w:b/>
          <w:bCs/>
        </w:rPr>
      </w:pPr>
    </w:p>
    <w:p w14:paraId="31F25CDC" w14:textId="59421C58" w:rsidR="00A7277B" w:rsidRDefault="003F029B" w:rsidP="006047BB">
      <w:pPr>
        <w:jc w:val="center"/>
        <w:rPr>
          <w:b/>
          <w:bCs/>
        </w:rPr>
      </w:pPr>
      <w:r>
        <w:rPr>
          <w:b/>
          <w:bCs/>
        </w:rPr>
        <w:t xml:space="preserve">Technical assistance: </w:t>
      </w:r>
      <w:r w:rsidR="00530109">
        <w:rPr>
          <w:b/>
          <w:bCs/>
        </w:rPr>
        <w:t xml:space="preserve">Overview </w:t>
      </w:r>
      <w:r>
        <w:rPr>
          <w:b/>
          <w:bCs/>
        </w:rPr>
        <w:t>and experience sharing</w:t>
      </w:r>
      <w:r w:rsidR="007C0377">
        <w:rPr>
          <w:b/>
          <w:bCs/>
        </w:rPr>
        <w:t xml:space="preserve"> during TBT Committee</w:t>
      </w:r>
      <w:r w:rsidR="00A67D54">
        <w:rPr>
          <w:b/>
          <w:bCs/>
        </w:rPr>
        <w:t xml:space="preserve"> agenda item on technical assistance</w:t>
      </w:r>
      <w:r w:rsidR="00150142">
        <w:rPr>
          <w:b/>
          <w:bCs/>
        </w:rPr>
        <w:t xml:space="preserve"> </w:t>
      </w:r>
      <w:r w:rsidR="00150142" w:rsidRPr="00170CD0">
        <w:t>(</w:t>
      </w:r>
      <w:r w:rsidR="00170CD0" w:rsidRPr="00170CD0">
        <w:t xml:space="preserve">detailed </w:t>
      </w:r>
      <w:r w:rsidR="00150142" w:rsidRPr="00170CD0">
        <w:t>agenda forthcoming in WT/AIR/</w:t>
      </w:r>
      <w:r w:rsidR="00170CD0" w:rsidRPr="00170CD0">
        <w:t>TBT/32)</w:t>
      </w:r>
    </w:p>
    <w:p w14:paraId="44609094" w14:textId="77777777" w:rsidR="00C73812" w:rsidRDefault="00C73812" w:rsidP="00CD41C7">
      <w:pPr>
        <w:rPr>
          <w:b/>
          <w:bCs/>
        </w:rPr>
      </w:pPr>
    </w:p>
    <w:p w14:paraId="3DDB997E" w14:textId="43EA0D3D" w:rsidR="00CD5DAD" w:rsidRPr="00FF4E3E" w:rsidRDefault="00CD5DAD" w:rsidP="00CD41C7">
      <w:r w:rsidRPr="00FF4E3E">
        <w:t xml:space="preserve">This session will provide an opportunity for the Secretariat to provide an overview of </w:t>
      </w:r>
      <w:r w:rsidR="0049221A">
        <w:t xml:space="preserve">the WTO </w:t>
      </w:r>
      <w:r w:rsidRPr="00FF4E3E">
        <w:t>technical assistance programme, with a special emphasis on the TBT Agreement</w:t>
      </w:r>
      <w:r w:rsidR="003F029B">
        <w:t>. It will also provide an opportunity for Members who have been active in both receiving and delivering</w:t>
      </w:r>
      <w:r w:rsidR="0049221A">
        <w:t xml:space="preserve"> TBT</w:t>
      </w:r>
      <w:r w:rsidR="003F029B">
        <w:t xml:space="preserve"> technical assistance to share their experiences.</w:t>
      </w:r>
      <w:r w:rsidR="007C0377">
        <w:t xml:space="preserve"> Th</w:t>
      </w:r>
      <w:r w:rsidR="00A03211">
        <w:t>e</w:t>
      </w:r>
      <w:r w:rsidR="007C0377">
        <w:t xml:space="preserve"> session will also </w:t>
      </w:r>
      <w:r w:rsidR="006E1920">
        <w:t>provide an opportunity to address the Ministerial Conference Declaration on S&amp;D under the SPS and TBT Agreements</w:t>
      </w:r>
      <w:r w:rsidR="00F77835">
        <w:t xml:space="preserve"> (WT/MIN</w:t>
      </w:r>
      <w:r w:rsidR="00D14135">
        <w:t>(24)/36)</w:t>
      </w:r>
      <w:r w:rsidR="006E1920">
        <w:t xml:space="preserve">, in particular </w:t>
      </w:r>
      <w:r w:rsidR="000C791C">
        <w:t>with respect to technical assistance.</w:t>
      </w:r>
      <w:r w:rsidR="00F77FF4">
        <w:t xml:space="preserve"> </w:t>
      </w:r>
    </w:p>
    <w:p w14:paraId="16A948B9" w14:textId="77777777" w:rsidR="00C73812" w:rsidRDefault="00C73812" w:rsidP="00CD41C7">
      <w:pPr>
        <w:rPr>
          <w:b/>
          <w:bCs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756"/>
        <w:gridCol w:w="4768"/>
        <w:gridCol w:w="3492"/>
      </w:tblGrid>
      <w:tr w:rsidR="00C73812" w:rsidRPr="00C66285" w14:paraId="1651414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" w:type="dxa"/>
          </w:tcPr>
          <w:p w14:paraId="7E487F5D" w14:textId="77777777" w:rsidR="00C73812" w:rsidRPr="00C66285" w:rsidRDefault="00C73812">
            <w:pPr>
              <w:spacing w:before="240" w:after="240"/>
              <w:jc w:val="center"/>
            </w:pPr>
            <w:r w:rsidRPr="00C66285">
              <w:t>Time</w:t>
            </w:r>
          </w:p>
        </w:tc>
        <w:tc>
          <w:tcPr>
            <w:tcW w:w="4768" w:type="dxa"/>
          </w:tcPr>
          <w:p w14:paraId="3E4B13BD" w14:textId="77777777" w:rsidR="00C73812" w:rsidRPr="00C66285" w:rsidRDefault="00C73812">
            <w:pPr>
              <w:spacing w:before="240" w:after="240"/>
              <w:jc w:val="center"/>
            </w:pPr>
            <w:r w:rsidRPr="00C66285">
              <w:t>Session</w:t>
            </w:r>
          </w:p>
        </w:tc>
        <w:tc>
          <w:tcPr>
            <w:tcW w:w="3492" w:type="dxa"/>
          </w:tcPr>
          <w:p w14:paraId="6141045D" w14:textId="77777777" w:rsidR="00C73812" w:rsidRPr="00C66285" w:rsidRDefault="00C73812">
            <w:pPr>
              <w:spacing w:before="240" w:after="240"/>
              <w:jc w:val="center"/>
            </w:pPr>
            <w:r w:rsidRPr="00C66285">
              <w:t>Speakers</w:t>
            </w:r>
          </w:p>
        </w:tc>
      </w:tr>
      <w:tr w:rsidR="00C73812" w:rsidRPr="00F14136" w14:paraId="513C37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4642CE76" w14:textId="390328E0" w:rsidR="00C73812" w:rsidRPr="00F14136" w:rsidRDefault="00762AA0">
            <w:pPr>
              <w:spacing w:before="240" w:after="240"/>
              <w:jc w:val="center"/>
            </w:pPr>
            <w:r>
              <w:t>15.</w:t>
            </w:r>
            <w:r w:rsidR="00E07372">
              <w:t>00</w:t>
            </w:r>
          </w:p>
        </w:tc>
        <w:tc>
          <w:tcPr>
            <w:tcW w:w="4768" w:type="dxa"/>
          </w:tcPr>
          <w:p w14:paraId="67BEEC9D" w14:textId="77777777" w:rsidR="00C73812" w:rsidRDefault="00762AA0">
            <w:pPr>
              <w:spacing w:before="240" w:after="2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Technical assistance overview </w:t>
            </w:r>
          </w:p>
          <w:p w14:paraId="5DA86DF0" w14:textId="3D4677ED" w:rsidR="00762AA0" w:rsidRDefault="00762AA0">
            <w:pPr>
              <w:spacing w:before="240" w:after="240"/>
              <w:jc w:val="left"/>
            </w:pPr>
            <w:r w:rsidRPr="00762AA0">
              <w:t>Presentation by ITTC on WTO technical assistance programm</w:t>
            </w:r>
            <w:r w:rsidR="0011083D">
              <w:t>es</w:t>
            </w:r>
          </w:p>
          <w:p w14:paraId="0BF75425" w14:textId="53F8F920" w:rsidR="00762AA0" w:rsidRPr="0011083D" w:rsidRDefault="00762AA0">
            <w:pPr>
              <w:spacing w:before="240" w:after="240"/>
              <w:jc w:val="left"/>
            </w:pPr>
            <w:r>
              <w:t xml:space="preserve">Presentation by TBT team on TBT technical assistance </w:t>
            </w:r>
            <w:r w:rsidR="005C4471">
              <w:t>activities</w:t>
            </w:r>
          </w:p>
        </w:tc>
        <w:tc>
          <w:tcPr>
            <w:tcW w:w="3492" w:type="dxa"/>
          </w:tcPr>
          <w:p w14:paraId="2A63C9AA" w14:textId="77777777" w:rsidR="00C73812" w:rsidRPr="00F14136" w:rsidRDefault="00C73812">
            <w:pPr>
              <w:spacing w:before="240" w:after="240"/>
              <w:jc w:val="left"/>
            </w:pPr>
            <w:r>
              <w:t>WTO Secretariat</w:t>
            </w:r>
          </w:p>
        </w:tc>
      </w:tr>
      <w:tr w:rsidR="00C73812" w:rsidRPr="00F14136" w14:paraId="798982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0E26508C" w14:textId="2382E787" w:rsidR="00C73812" w:rsidRPr="00F14136" w:rsidRDefault="00D95AE2">
            <w:pPr>
              <w:spacing w:before="240" w:after="240"/>
              <w:jc w:val="left"/>
            </w:pPr>
            <w:r>
              <w:t>15.</w:t>
            </w:r>
            <w:r w:rsidR="00E07372">
              <w:t>45</w:t>
            </w:r>
          </w:p>
        </w:tc>
        <w:tc>
          <w:tcPr>
            <w:tcW w:w="4768" w:type="dxa"/>
          </w:tcPr>
          <w:p w14:paraId="2B6584CA" w14:textId="77777777" w:rsidR="00785B3E" w:rsidRDefault="00785B3E" w:rsidP="00785B3E">
            <w:pPr>
              <w:spacing w:before="240" w:after="2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Experience sharing by Members</w:t>
            </w:r>
          </w:p>
          <w:p w14:paraId="70A3F70C" w14:textId="20103996" w:rsidR="00785B3E" w:rsidRPr="00D95AE2" w:rsidRDefault="00540AC1" w:rsidP="00785B3E">
            <w:pPr>
              <w:spacing w:before="240" w:after="240"/>
              <w:jc w:val="left"/>
            </w:pPr>
            <w:r>
              <w:t>Intervention</w:t>
            </w:r>
            <w:r w:rsidR="00785B3E" w:rsidRPr="00D95AE2">
              <w:t xml:space="preserve"> by </w:t>
            </w:r>
            <w:r w:rsidR="0095623B">
              <w:t>Kenya</w:t>
            </w:r>
          </w:p>
          <w:p w14:paraId="710BDB8D" w14:textId="2A707DC1" w:rsidR="009C0397" w:rsidRDefault="00540AC1" w:rsidP="00785B3E">
            <w:pPr>
              <w:spacing w:before="240" w:after="240"/>
              <w:jc w:val="left"/>
            </w:pPr>
            <w:r>
              <w:t>Intervention</w:t>
            </w:r>
            <w:r w:rsidR="00785B3E" w:rsidRPr="00D95AE2">
              <w:t xml:space="preserve"> by </w:t>
            </w:r>
            <w:r w:rsidR="008161AD">
              <w:t>Namibia</w:t>
            </w:r>
          </w:p>
          <w:p w14:paraId="6EECD470" w14:textId="731315D3" w:rsidR="008161AD" w:rsidRPr="00F14136" w:rsidRDefault="008161AD" w:rsidP="00785B3E">
            <w:pPr>
              <w:spacing w:before="240" w:after="2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3492" w:type="dxa"/>
          </w:tcPr>
          <w:p w14:paraId="07437715" w14:textId="77777777" w:rsidR="0095623B" w:rsidRDefault="0095623B" w:rsidP="0095623B">
            <w:pPr>
              <w:spacing w:before="240" w:after="240"/>
              <w:jc w:val="left"/>
            </w:pPr>
          </w:p>
          <w:p w14:paraId="564F3E4C" w14:textId="7862F44F" w:rsidR="0095623B" w:rsidRDefault="0095623B" w:rsidP="0095623B">
            <w:pPr>
              <w:spacing w:before="240" w:after="240"/>
              <w:jc w:val="left"/>
            </w:pPr>
            <w:r w:rsidRPr="00D95AE2">
              <w:t xml:space="preserve">Lucy </w:t>
            </w:r>
            <w:proofErr w:type="spellStart"/>
            <w:r w:rsidRPr="00D95AE2">
              <w:t>Ikonya</w:t>
            </w:r>
            <w:proofErr w:type="spellEnd"/>
            <w:r w:rsidRPr="00D95AE2">
              <w:t xml:space="preserve">, </w:t>
            </w:r>
            <w:r>
              <w:t>Kenya</w:t>
            </w:r>
          </w:p>
          <w:p w14:paraId="0E9EB4C4" w14:textId="5E2397B8" w:rsidR="00785B3E" w:rsidRPr="00F14136" w:rsidRDefault="00785B3E">
            <w:pPr>
              <w:spacing w:before="240" w:after="240"/>
              <w:jc w:val="left"/>
            </w:pPr>
            <w:r w:rsidRPr="00D95AE2">
              <w:t>Lahya Hambinga, Nam</w:t>
            </w:r>
            <w:r>
              <w:t>i</w:t>
            </w:r>
            <w:r w:rsidRPr="00D95AE2">
              <w:t>bi</w:t>
            </w:r>
            <w:r>
              <w:t>a</w:t>
            </w:r>
          </w:p>
        </w:tc>
      </w:tr>
      <w:tr w:rsidR="00841B69" w:rsidRPr="00A65FB3" w14:paraId="21CFC3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2B556EF8" w14:textId="261B1B35" w:rsidR="00841B69" w:rsidRDefault="0095623B" w:rsidP="00841B69">
            <w:pPr>
              <w:spacing w:before="240" w:after="240"/>
              <w:jc w:val="left"/>
            </w:pPr>
            <w:r>
              <w:t>16.</w:t>
            </w:r>
            <w:r w:rsidR="00C240EA">
              <w:t>30</w:t>
            </w:r>
          </w:p>
        </w:tc>
        <w:tc>
          <w:tcPr>
            <w:tcW w:w="4768" w:type="dxa"/>
          </w:tcPr>
          <w:p w14:paraId="078EE4A8" w14:textId="48013032" w:rsidR="00841B69" w:rsidRDefault="00C240EA" w:rsidP="00841B69">
            <w:pPr>
              <w:spacing w:before="240" w:after="2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Q&amp;A</w:t>
            </w:r>
            <w:r w:rsidR="008161AD">
              <w:rPr>
                <w:b/>
                <w:bCs/>
              </w:rPr>
              <w:t xml:space="preserve"> and Wrap up</w:t>
            </w:r>
          </w:p>
        </w:tc>
        <w:tc>
          <w:tcPr>
            <w:tcW w:w="3492" w:type="dxa"/>
          </w:tcPr>
          <w:p w14:paraId="0FE6BC3A" w14:textId="19BFC6D9" w:rsidR="00841B69" w:rsidRPr="00A65FB3" w:rsidRDefault="00841B69" w:rsidP="00841B69">
            <w:pPr>
              <w:spacing w:before="240" w:after="240"/>
              <w:jc w:val="left"/>
            </w:pPr>
          </w:p>
        </w:tc>
      </w:tr>
    </w:tbl>
    <w:p w14:paraId="3E80B0F8" w14:textId="77777777" w:rsidR="00435C0C" w:rsidRDefault="00435C0C" w:rsidP="00CD41C7">
      <w:pPr>
        <w:rPr>
          <w:b/>
          <w:bCs/>
        </w:rPr>
      </w:pPr>
    </w:p>
    <w:p w14:paraId="2448D111" w14:textId="77777777" w:rsidR="00435C0C" w:rsidRDefault="00435C0C" w:rsidP="00CD41C7">
      <w:pPr>
        <w:rPr>
          <w:b/>
          <w:bCs/>
        </w:rPr>
      </w:pPr>
    </w:p>
    <w:p w14:paraId="30A170DB" w14:textId="75CEFA1E" w:rsidR="00A7277B" w:rsidRDefault="00090EE8" w:rsidP="004A50E2">
      <w:pPr>
        <w:jc w:val="center"/>
        <w:rPr>
          <w:b/>
          <w:bCs/>
        </w:rPr>
      </w:pPr>
      <w:r>
        <w:rPr>
          <w:b/>
          <w:bCs/>
        </w:rPr>
        <w:t>Friday, 7 November</w:t>
      </w:r>
    </w:p>
    <w:p w14:paraId="5BD8F585" w14:textId="77777777" w:rsidR="00090EE8" w:rsidRDefault="00090EE8" w:rsidP="004A50E2">
      <w:pPr>
        <w:jc w:val="center"/>
        <w:rPr>
          <w:b/>
          <w:bCs/>
        </w:rPr>
      </w:pPr>
    </w:p>
    <w:p w14:paraId="7301F421" w14:textId="1B2A8EDE" w:rsidR="00090EE8" w:rsidRDefault="00090EE8" w:rsidP="004A50E2">
      <w:pPr>
        <w:jc w:val="center"/>
        <w:rPr>
          <w:b/>
          <w:bCs/>
        </w:rPr>
      </w:pPr>
      <w:r>
        <w:rPr>
          <w:b/>
          <w:bCs/>
        </w:rPr>
        <w:t>Celebrating 30 years of the TBT Agreement</w:t>
      </w:r>
    </w:p>
    <w:p w14:paraId="7ED4334B" w14:textId="77777777" w:rsidR="00090EE8" w:rsidRDefault="00090EE8" w:rsidP="00CD41C7">
      <w:pPr>
        <w:rPr>
          <w:b/>
          <w:bCs/>
        </w:rPr>
      </w:pPr>
    </w:p>
    <w:p w14:paraId="45BDECE4" w14:textId="1E08A72F" w:rsidR="00B11391" w:rsidRDefault="00090EE8" w:rsidP="00CD41C7">
      <w:r w:rsidRPr="00FD0A09">
        <w:t>This session will provide an opportunity for delegate</w:t>
      </w:r>
      <w:r w:rsidR="00FD0A09">
        <w:t xml:space="preserve">s, </w:t>
      </w:r>
      <w:r w:rsidR="0067243B">
        <w:t xml:space="preserve">invited </w:t>
      </w:r>
      <w:r w:rsidR="00A6304C">
        <w:t xml:space="preserve">experts and other stakeholders to </w:t>
      </w:r>
      <w:r w:rsidR="005F5161">
        <w:t xml:space="preserve">share their </w:t>
      </w:r>
      <w:r w:rsidR="00C7781A">
        <w:t xml:space="preserve">experiences and views on the </w:t>
      </w:r>
      <w:r w:rsidR="002F1D5E">
        <w:t>impact of</w:t>
      </w:r>
      <w:r w:rsidR="00C7781A">
        <w:t xml:space="preserve"> the TBT Agreement </w:t>
      </w:r>
      <w:r w:rsidR="00A76F0D">
        <w:t xml:space="preserve">/TBT Committee </w:t>
      </w:r>
      <w:r w:rsidR="00C7781A">
        <w:t>and also</w:t>
      </w:r>
      <w:r w:rsidR="00B11391">
        <w:t xml:space="preserve"> remark on </w:t>
      </w:r>
      <w:r w:rsidR="00EC68DE">
        <w:t>expectations for its</w:t>
      </w:r>
      <w:r w:rsidR="00863BC5">
        <w:t xml:space="preserve"> future. </w:t>
      </w:r>
      <w:r w:rsidR="00D73841">
        <w:t xml:space="preserve">The invited experts will bring </w:t>
      </w:r>
      <w:r w:rsidR="005823C8">
        <w:t>the developing country perspective.</w:t>
      </w:r>
    </w:p>
    <w:p w14:paraId="056C17EF" w14:textId="77777777" w:rsidR="00B11391" w:rsidRDefault="00B11391" w:rsidP="00CD41C7"/>
    <w:p w14:paraId="70691E8B" w14:textId="324F2F1B" w:rsidR="00B11391" w:rsidRDefault="00B11391" w:rsidP="00C81890">
      <w:pPr>
        <w:jc w:val="left"/>
      </w:pPr>
      <w:r>
        <w:t xml:space="preserve">The full programme can be accessed here: </w:t>
      </w:r>
      <w:hyperlink r:id="rId8" w:history="1">
        <w:r w:rsidR="00C81890" w:rsidRPr="00682492">
          <w:rPr>
            <w:rStyle w:val="Hyperlink"/>
          </w:rPr>
          <w:t>https://www.wto.org/english/tratop_e/tbt_e/tbt_0811202410_e/tbt_0811202410_e.htm</w:t>
        </w:r>
      </w:hyperlink>
    </w:p>
    <w:p w14:paraId="3AA101E6" w14:textId="77777777" w:rsidR="00B11391" w:rsidRDefault="00B11391" w:rsidP="00CD41C7"/>
    <w:p w14:paraId="572C024D" w14:textId="3F5F5988" w:rsidR="00090EE8" w:rsidRDefault="00020CB2" w:rsidP="00CD41C7">
      <w:r>
        <w:t xml:space="preserve">Throughout the week, the </w:t>
      </w:r>
      <w:r w:rsidR="00863BC5">
        <w:t>invited</w:t>
      </w:r>
      <w:r>
        <w:t xml:space="preserve"> experts will also have an opportunity to</w:t>
      </w:r>
      <w:r w:rsidR="009A1B8A">
        <w:t xml:space="preserve"> network with other </w:t>
      </w:r>
      <w:r w:rsidR="00DF6FDB">
        <w:t xml:space="preserve">experts and </w:t>
      </w:r>
      <w:r w:rsidR="009A1B8A">
        <w:t>delegates and</w:t>
      </w:r>
      <w:r>
        <w:t xml:space="preserve"> participate in</w:t>
      </w:r>
      <w:r w:rsidR="00840B62">
        <w:t xml:space="preserve"> the</w:t>
      </w:r>
      <w:r>
        <w:t xml:space="preserve"> </w:t>
      </w:r>
      <w:r w:rsidR="00863BC5">
        <w:t xml:space="preserve">TBT </w:t>
      </w:r>
      <w:r>
        <w:t>Committee deliberations</w:t>
      </w:r>
      <w:r w:rsidR="009A1B8A">
        <w:t xml:space="preserve">, starting on Monday 4 November at 3.00 pm </w:t>
      </w:r>
      <w:r w:rsidR="00863BC5">
        <w:t xml:space="preserve"> and </w:t>
      </w:r>
      <w:r w:rsidR="009A1B8A">
        <w:t xml:space="preserve">continuing </w:t>
      </w:r>
      <w:r w:rsidR="00A43BBB">
        <w:t xml:space="preserve">through </w:t>
      </w:r>
      <w:r w:rsidR="009A1B8A">
        <w:t>Friday</w:t>
      </w:r>
      <w:r w:rsidR="00A37906">
        <w:t>, 8 Novembe</w:t>
      </w:r>
      <w:r w:rsidR="001D6F47">
        <w:t>r</w:t>
      </w:r>
      <w:r w:rsidR="009A1B8A">
        <w:t xml:space="preserve"> </w:t>
      </w:r>
      <w:r w:rsidR="00EB4579">
        <w:t>(further details on</w:t>
      </w:r>
      <w:r w:rsidR="000D7731">
        <w:t xml:space="preserve"> the</w:t>
      </w:r>
      <w:r w:rsidR="00EB4579">
        <w:t xml:space="preserve"> TBT Committee week will be available in the annotated </w:t>
      </w:r>
      <w:r w:rsidR="00DF6FDB">
        <w:t xml:space="preserve">draft </w:t>
      </w:r>
      <w:r w:rsidR="00EB4579">
        <w:t>agenda to be circulated</w:t>
      </w:r>
      <w:r w:rsidR="00DF6FDB">
        <w:t xml:space="preserve"> in document WT/AIR/32</w:t>
      </w:r>
      <w:r w:rsidR="00EB4579">
        <w:t xml:space="preserve"> on 21 </w:t>
      </w:r>
      <w:r w:rsidR="00BE21F5">
        <w:t>Octobe</w:t>
      </w:r>
      <w:r w:rsidR="00EB4579">
        <w:t>r)</w:t>
      </w:r>
      <w:r>
        <w:t>.</w:t>
      </w:r>
      <w:r w:rsidR="0039592C">
        <w:t xml:space="preserve"> </w:t>
      </w:r>
    </w:p>
    <w:p w14:paraId="7EA05B0F" w14:textId="77777777" w:rsidR="00E61172" w:rsidRDefault="00E61172" w:rsidP="00CD41C7"/>
    <w:p w14:paraId="67AA2834" w14:textId="3AA5C9F9" w:rsidR="00E61172" w:rsidRPr="00FD0A09" w:rsidRDefault="00856B7A" w:rsidP="00CD41C7">
      <w:r>
        <w:rPr>
          <w:noProof/>
        </w:rPr>
        <w:drawing>
          <wp:inline distT="0" distB="0" distL="0" distR="0" wp14:anchorId="0542330C" wp14:editId="41291A27">
            <wp:extent cx="5731510" cy="1157605"/>
            <wp:effectExtent l="0" t="0" r="2540" b="4445"/>
            <wp:docPr id="1640877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8776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172" w:rsidRPr="00FD0A09" w:rsidSect="002A15FB">
      <w:headerReference w:type="default" r:id="rId10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D06A" w14:textId="77777777" w:rsidR="00AC6063" w:rsidRDefault="00AC6063" w:rsidP="00ED54E0">
      <w:r>
        <w:separator/>
      </w:r>
    </w:p>
  </w:endnote>
  <w:endnote w:type="continuationSeparator" w:id="0">
    <w:p w14:paraId="04DE0A79" w14:textId="77777777" w:rsidR="00AC6063" w:rsidRDefault="00AC6063" w:rsidP="00ED54E0">
      <w:r>
        <w:continuationSeparator/>
      </w:r>
    </w:p>
  </w:endnote>
  <w:endnote w:type="continuationNotice" w:id="1">
    <w:p w14:paraId="40B79733" w14:textId="77777777" w:rsidR="00AC6063" w:rsidRDefault="00AC6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5CB9" w14:textId="77777777" w:rsidR="00AC6063" w:rsidRDefault="00AC6063" w:rsidP="00ED54E0">
      <w:r>
        <w:separator/>
      </w:r>
    </w:p>
  </w:footnote>
  <w:footnote w:type="continuationSeparator" w:id="0">
    <w:p w14:paraId="782CB768" w14:textId="77777777" w:rsidR="00AC6063" w:rsidRDefault="00AC6063" w:rsidP="00ED54E0">
      <w:r>
        <w:continuationSeparator/>
      </w:r>
    </w:p>
  </w:footnote>
  <w:footnote w:type="continuationNotice" w:id="1">
    <w:p w14:paraId="17EC9C43" w14:textId="77777777" w:rsidR="00AC6063" w:rsidRDefault="00AC6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D542" w14:textId="77777777" w:rsidR="00EA5333" w:rsidRDefault="00EA5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7CD0"/>
    <w:multiLevelType w:val="hybridMultilevel"/>
    <w:tmpl w:val="FE36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36A6C"/>
    <w:multiLevelType w:val="hybridMultilevel"/>
    <w:tmpl w:val="1AAC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A0786"/>
    <w:multiLevelType w:val="hybridMultilevel"/>
    <w:tmpl w:val="ADA8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02C49"/>
    <w:multiLevelType w:val="hybridMultilevel"/>
    <w:tmpl w:val="B66E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E679E"/>
    <w:multiLevelType w:val="hybridMultilevel"/>
    <w:tmpl w:val="C6B2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90E17"/>
    <w:multiLevelType w:val="hybridMultilevel"/>
    <w:tmpl w:val="5698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342A"/>
    <w:multiLevelType w:val="hybridMultilevel"/>
    <w:tmpl w:val="E38A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A1664"/>
    <w:multiLevelType w:val="hybridMultilevel"/>
    <w:tmpl w:val="7ADCB2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1" w15:restartNumberingAfterBreak="0">
    <w:nsid w:val="57454AB1"/>
    <w:multiLevelType w:val="multilevel"/>
    <w:tmpl w:val="CC52177C"/>
    <w:numStyleLink w:val="LegalHeadings"/>
  </w:abstractNum>
  <w:abstractNum w:abstractNumId="22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3" w15:restartNumberingAfterBreak="0">
    <w:nsid w:val="5B99467E"/>
    <w:multiLevelType w:val="hybridMultilevel"/>
    <w:tmpl w:val="0B12F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FA6DC7"/>
    <w:multiLevelType w:val="hybridMultilevel"/>
    <w:tmpl w:val="699E55A2"/>
    <w:lvl w:ilvl="0" w:tplc="D3E227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73070"/>
    <w:multiLevelType w:val="hybridMultilevel"/>
    <w:tmpl w:val="FC4A6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75767">
    <w:abstractNumId w:val="9"/>
  </w:num>
  <w:num w:numId="2" w16cid:durableId="1371371306">
    <w:abstractNumId w:val="7"/>
  </w:num>
  <w:num w:numId="3" w16cid:durableId="156306934">
    <w:abstractNumId w:val="6"/>
  </w:num>
  <w:num w:numId="4" w16cid:durableId="529102502">
    <w:abstractNumId w:val="5"/>
  </w:num>
  <w:num w:numId="5" w16cid:durableId="247931982">
    <w:abstractNumId w:val="4"/>
  </w:num>
  <w:num w:numId="6" w16cid:durableId="316305697">
    <w:abstractNumId w:val="22"/>
  </w:num>
  <w:num w:numId="7" w16cid:durableId="553933551">
    <w:abstractNumId w:val="21"/>
  </w:num>
  <w:num w:numId="8" w16cid:durableId="2107647321">
    <w:abstractNumId w:val="20"/>
  </w:num>
  <w:num w:numId="9" w16cid:durableId="571691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0961821">
    <w:abstractNumId w:val="24"/>
  </w:num>
  <w:num w:numId="11" w16cid:durableId="1680354640">
    <w:abstractNumId w:val="8"/>
  </w:num>
  <w:num w:numId="12" w16cid:durableId="1591155611">
    <w:abstractNumId w:val="3"/>
  </w:num>
  <w:num w:numId="13" w16cid:durableId="976106500">
    <w:abstractNumId w:val="2"/>
  </w:num>
  <w:num w:numId="14" w16cid:durableId="2106924716">
    <w:abstractNumId w:val="1"/>
  </w:num>
  <w:num w:numId="15" w16cid:durableId="329719926">
    <w:abstractNumId w:val="0"/>
  </w:num>
  <w:num w:numId="16" w16cid:durableId="1048994910">
    <w:abstractNumId w:val="10"/>
  </w:num>
  <w:num w:numId="17" w16cid:durableId="236214181">
    <w:abstractNumId w:val="20"/>
  </w:num>
  <w:num w:numId="18" w16cid:durableId="6746948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5280040">
    <w:abstractNumId w:val="16"/>
  </w:num>
  <w:num w:numId="20" w16cid:durableId="293948515">
    <w:abstractNumId w:val="13"/>
  </w:num>
  <w:num w:numId="21" w16cid:durableId="1715884302">
    <w:abstractNumId w:val="11"/>
  </w:num>
  <w:num w:numId="22" w16cid:durableId="729353274">
    <w:abstractNumId w:val="23"/>
  </w:num>
  <w:num w:numId="23" w16cid:durableId="86386793">
    <w:abstractNumId w:val="12"/>
  </w:num>
  <w:num w:numId="24" w16cid:durableId="339814005">
    <w:abstractNumId w:val="17"/>
  </w:num>
  <w:num w:numId="25" w16cid:durableId="1950890293">
    <w:abstractNumId w:val="19"/>
  </w:num>
  <w:num w:numId="26" w16cid:durableId="272441489">
    <w:abstractNumId w:val="25"/>
  </w:num>
  <w:num w:numId="27" w16cid:durableId="182399319">
    <w:abstractNumId w:val="26"/>
  </w:num>
  <w:num w:numId="28" w16cid:durableId="1381786986">
    <w:abstractNumId w:val="18"/>
  </w:num>
  <w:num w:numId="29" w16cid:durableId="3415111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37"/>
    <w:rsid w:val="00000A6E"/>
    <w:rsid w:val="000106E0"/>
    <w:rsid w:val="000111BB"/>
    <w:rsid w:val="00020091"/>
    <w:rsid w:val="00020CB2"/>
    <w:rsid w:val="00022C0F"/>
    <w:rsid w:val="00023824"/>
    <w:rsid w:val="000272F6"/>
    <w:rsid w:val="00035764"/>
    <w:rsid w:val="00037AC4"/>
    <w:rsid w:val="00041D24"/>
    <w:rsid w:val="000423BF"/>
    <w:rsid w:val="00044C9C"/>
    <w:rsid w:val="00044DA1"/>
    <w:rsid w:val="00050CB5"/>
    <w:rsid w:val="00056CB4"/>
    <w:rsid w:val="000760C5"/>
    <w:rsid w:val="00083F96"/>
    <w:rsid w:val="00085DED"/>
    <w:rsid w:val="00090EE8"/>
    <w:rsid w:val="000A2C85"/>
    <w:rsid w:val="000A4945"/>
    <w:rsid w:val="000B31E1"/>
    <w:rsid w:val="000B5DA7"/>
    <w:rsid w:val="000B66AA"/>
    <w:rsid w:val="000B6935"/>
    <w:rsid w:val="000B738F"/>
    <w:rsid w:val="000C1DFB"/>
    <w:rsid w:val="000C2EA0"/>
    <w:rsid w:val="000C791C"/>
    <w:rsid w:val="000D499A"/>
    <w:rsid w:val="000D5DC4"/>
    <w:rsid w:val="000D7731"/>
    <w:rsid w:val="000D79DC"/>
    <w:rsid w:val="000E3D76"/>
    <w:rsid w:val="000E7981"/>
    <w:rsid w:val="00107BD6"/>
    <w:rsid w:val="0011083D"/>
    <w:rsid w:val="0011356B"/>
    <w:rsid w:val="00114DC3"/>
    <w:rsid w:val="00120B00"/>
    <w:rsid w:val="0012264C"/>
    <w:rsid w:val="00126436"/>
    <w:rsid w:val="00127B19"/>
    <w:rsid w:val="0013337F"/>
    <w:rsid w:val="00150142"/>
    <w:rsid w:val="001624EB"/>
    <w:rsid w:val="0016270B"/>
    <w:rsid w:val="00170CD0"/>
    <w:rsid w:val="00182B84"/>
    <w:rsid w:val="0019387F"/>
    <w:rsid w:val="00193D0C"/>
    <w:rsid w:val="001946F2"/>
    <w:rsid w:val="001A26E1"/>
    <w:rsid w:val="001A311E"/>
    <w:rsid w:val="001C138E"/>
    <w:rsid w:val="001C70D9"/>
    <w:rsid w:val="001D0F5C"/>
    <w:rsid w:val="001D6F47"/>
    <w:rsid w:val="001E04C1"/>
    <w:rsid w:val="001E1C3E"/>
    <w:rsid w:val="001E291F"/>
    <w:rsid w:val="001E54AA"/>
    <w:rsid w:val="00202327"/>
    <w:rsid w:val="002053DE"/>
    <w:rsid w:val="00223CA1"/>
    <w:rsid w:val="00224515"/>
    <w:rsid w:val="00233408"/>
    <w:rsid w:val="002345B1"/>
    <w:rsid w:val="00237417"/>
    <w:rsid w:val="00260974"/>
    <w:rsid w:val="0027067B"/>
    <w:rsid w:val="00281A95"/>
    <w:rsid w:val="002A11C0"/>
    <w:rsid w:val="002A15FB"/>
    <w:rsid w:val="002A6940"/>
    <w:rsid w:val="002D0442"/>
    <w:rsid w:val="002D1C5D"/>
    <w:rsid w:val="002D3A7C"/>
    <w:rsid w:val="002D5B27"/>
    <w:rsid w:val="002E249B"/>
    <w:rsid w:val="002E4E44"/>
    <w:rsid w:val="002E74EB"/>
    <w:rsid w:val="002F0B97"/>
    <w:rsid w:val="002F1D5E"/>
    <w:rsid w:val="00304385"/>
    <w:rsid w:val="0030458A"/>
    <w:rsid w:val="00311BE2"/>
    <w:rsid w:val="00316DE7"/>
    <w:rsid w:val="00320249"/>
    <w:rsid w:val="0032025C"/>
    <w:rsid w:val="00324D34"/>
    <w:rsid w:val="003304D5"/>
    <w:rsid w:val="003365C4"/>
    <w:rsid w:val="00337AD6"/>
    <w:rsid w:val="003572B4"/>
    <w:rsid w:val="00360C13"/>
    <w:rsid w:val="003616BF"/>
    <w:rsid w:val="003674A4"/>
    <w:rsid w:val="0037037F"/>
    <w:rsid w:val="00371F2B"/>
    <w:rsid w:val="00373B87"/>
    <w:rsid w:val="00383F10"/>
    <w:rsid w:val="00384477"/>
    <w:rsid w:val="003844C8"/>
    <w:rsid w:val="0039592C"/>
    <w:rsid w:val="0039786C"/>
    <w:rsid w:val="003A2A38"/>
    <w:rsid w:val="003E0718"/>
    <w:rsid w:val="003E64FC"/>
    <w:rsid w:val="003F029B"/>
    <w:rsid w:val="003F335A"/>
    <w:rsid w:val="00411AB8"/>
    <w:rsid w:val="0041571A"/>
    <w:rsid w:val="004260A9"/>
    <w:rsid w:val="004266C4"/>
    <w:rsid w:val="00435C0C"/>
    <w:rsid w:val="00437AA7"/>
    <w:rsid w:val="004416A5"/>
    <w:rsid w:val="00443523"/>
    <w:rsid w:val="004544B4"/>
    <w:rsid w:val="004551EC"/>
    <w:rsid w:val="00463CD1"/>
    <w:rsid w:val="00465A27"/>
    <w:rsid w:val="00467032"/>
    <w:rsid w:val="0046754A"/>
    <w:rsid w:val="0047500A"/>
    <w:rsid w:val="00477179"/>
    <w:rsid w:val="00480A76"/>
    <w:rsid w:val="004911F3"/>
    <w:rsid w:val="0049221A"/>
    <w:rsid w:val="00492E49"/>
    <w:rsid w:val="004A31FF"/>
    <w:rsid w:val="004A4D9A"/>
    <w:rsid w:val="004A50E2"/>
    <w:rsid w:val="004B3C6C"/>
    <w:rsid w:val="004B6A03"/>
    <w:rsid w:val="004C4738"/>
    <w:rsid w:val="004D6F21"/>
    <w:rsid w:val="004E09C4"/>
    <w:rsid w:val="004E2A1E"/>
    <w:rsid w:val="004F203A"/>
    <w:rsid w:val="004F31F1"/>
    <w:rsid w:val="005011B5"/>
    <w:rsid w:val="00512FF5"/>
    <w:rsid w:val="0051468A"/>
    <w:rsid w:val="00514AC5"/>
    <w:rsid w:val="00517B68"/>
    <w:rsid w:val="00523A1D"/>
    <w:rsid w:val="00526567"/>
    <w:rsid w:val="00527300"/>
    <w:rsid w:val="00530109"/>
    <w:rsid w:val="005336B8"/>
    <w:rsid w:val="00540AC1"/>
    <w:rsid w:val="0054324D"/>
    <w:rsid w:val="005439AE"/>
    <w:rsid w:val="00553AA2"/>
    <w:rsid w:val="00557909"/>
    <w:rsid w:val="00560429"/>
    <w:rsid w:val="005625B5"/>
    <w:rsid w:val="00570B8E"/>
    <w:rsid w:val="00577A4E"/>
    <w:rsid w:val="005823C8"/>
    <w:rsid w:val="00594904"/>
    <w:rsid w:val="005B04B9"/>
    <w:rsid w:val="005B4153"/>
    <w:rsid w:val="005B5666"/>
    <w:rsid w:val="005B68C7"/>
    <w:rsid w:val="005B7054"/>
    <w:rsid w:val="005C0688"/>
    <w:rsid w:val="005C4471"/>
    <w:rsid w:val="005D0059"/>
    <w:rsid w:val="005D0152"/>
    <w:rsid w:val="005D5981"/>
    <w:rsid w:val="005F0F7F"/>
    <w:rsid w:val="005F30CB"/>
    <w:rsid w:val="005F5161"/>
    <w:rsid w:val="005F6B9C"/>
    <w:rsid w:val="005F7369"/>
    <w:rsid w:val="006047BB"/>
    <w:rsid w:val="00612644"/>
    <w:rsid w:val="0061332C"/>
    <w:rsid w:val="00625C69"/>
    <w:rsid w:val="006270C8"/>
    <w:rsid w:val="00637E79"/>
    <w:rsid w:val="00640DF7"/>
    <w:rsid w:val="00653A80"/>
    <w:rsid w:val="00656A01"/>
    <w:rsid w:val="006601C4"/>
    <w:rsid w:val="00667A5D"/>
    <w:rsid w:val="0067243B"/>
    <w:rsid w:val="00674CCD"/>
    <w:rsid w:val="00692F07"/>
    <w:rsid w:val="006A0FA9"/>
    <w:rsid w:val="006A18DC"/>
    <w:rsid w:val="006A4659"/>
    <w:rsid w:val="006B0DD8"/>
    <w:rsid w:val="006B1B68"/>
    <w:rsid w:val="006B676B"/>
    <w:rsid w:val="006C4505"/>
    <w:rsid w:val="006D6742"/>
    <w:rsid w:val="006E1920"/>
    <w:rsid w:val="006E3654"/>
    <w:rsid w:val="006F5826"/>
    <w:rsid w:val="00700181"/>
    <w:rsid w:val="007141CF"/>
    <w:rsid w:val="00715675"/>
    <w:rsid w:val="00722079"/>
    <w:rsid w:val="00745146"/>
    <w:rsid w:val="0074635B"/>
    <w:rsid w:val="00752A3A"/>
    <w:rsid w:val="007577E3"/>
    <w:rsid w:val="00760DB3"/>
    <w:rsid w:val="00762AA0"/>
    <w:rsid w:val="00767204"/>
    <w:rsid w:val="00785B3E"/>
    <w:rsid w:val="0079161C"/>
    <w:rsid w:val="00793D0E"/>
    <w:rsid w:val="007A619E"/>
    <w:rsid w:val="007B26DC"/>
    <w:rsid w:val="007B3C30"/>
    <w:rsid w:val="007C0377"/>
    <w:rsid w:val="007C3936"/>
    <w:rsid w:val="007C79F0"/>
    <w:rsid w:val="007E6507"/>
    <w:rsid w:val="007F2B8E"/>
    <w:rsid w:val="007F2DB0"/>
    <w:rsid w:val="007F3AD5"/>
    <w:rsid w:val="00801CBB"/>
    <w:rsid w:val="00803217"/>
    <w:rsid w:val="0080639B"/>
    <w:rsid w:val="00807247"/>
    <w:rsid w:val="008161AD"/>
    <w:rsid w:val="00816689"/>
    <w:rsid w:val="00824037"/>
    <w:rsid w:val="00840B62"/>
    <w:rsid w:val="00840C2B"/>
    <w:rsid w:val="00840E51"/>
    <w:rsid w:val="00841B69"/>
    <w:rsid w:val="00850889"/>
    <w:rsid w:val="00856B7A"/>
    <w:rsid w:val="00857EA4"/>
    <w:rsid w:val="00863BC5"/>
    <w:rsid w:val="00871343"/>
    <w:rsid w:val="008739FD"/>
    <w:rsid w:val="00877C96"/>
    <w:rsid w:val="00890D8D"/>
    <w:rsid w:val="00897AFB"/>
    <w:rsid w:val="008A7BB6"/>
    <w:rsid w:val="008B1C0C"/>
    <w:rsid w:val="008D0EA0"/>
    <w:rsid w:val="008E372C"/>
    <w:rsid w:val="008E57AE"/>
    <w:rsid w:val="008F212B"/>
    <w:rsid w:val="0091678A"/>
    <w:rsid w:val="00920FD4"/>
    <w:rsid w:val="00921532"/>
    <w:rsid w:val="00926AE0"/>
    <w:rsid w:val="00934D0A"/>
    <w:rsid w:val="009404AA"/>
    <w:rsid w:val="00947C09"/>
    <w:rsid w:val="0095091C"/>
    <w:rsid w:val="0095623B"/>
    <w:rsid w:val="00957AED"/>
    <w:rsid w:val="0097525F"/>
    <w:rsid w:val="00976B4B"/>
    <w:rsid w:val="00986406"/>
    <w:rsid w:val="00990984"/>
    <w:rsid w:val="00990E56"/>
    <w:rsid w:val="00991791"/>
    <w:rsid w:val="009A1B8A"/>
    <w:rsid w:val="009A4951"/>
    <w:rsid w:val="009A6F54"/>
    <w:rsid w:val="009A7E67"/>
    <w:rsid w:val="009B0823"/>
    <w:rsid w:val="009B1A10"/>
    <w:rsid w:val="009C0397"/>
    <w:rsid w:val="009C22B8"/>
    <w:rsid w:val="009C5A0D"/>
    <w:rsid w:val="009C6491"/>
    <w:rsid w:val="009D4094"/>
    <w:rsid w:val="009E7AEC"/>
    <w:rsid w:val="009E7CA9"/>
    <w:rsid w:val="00A02846"/>
    <w:rsid w:val="00A03211"/>
    <w:rsid w:val="00A0572B"/>
    <w:rsid w:val="00A26C36"/>
    <w:rsid w:val="00A36C76"/>
    <w:rsid w:val="00A37906"/>
    <w:rsid w:val="00A43BBB"/>
    <w:rsid w:val="00A442AA"/>
    <w:rsid w:val="00A53DCE"/>
    <w:rsid w:val="00A6057A"/>
    <w:rsid w:val="00A6304C"/>
    <w:rsid w:val="00A65FB3"/>
    <w:rsid w:val="00A6787A"/>
    <w:rsid w:val="00A67D54"/>
    <w:rsid w:val="00A7277B"/>
    <w:rsid w:val="00A74017"/>
    <w:rsid w:val="00A76F0D"/>
    <w:rsid w:val="00A9003F"/>
    <w:rsid w:val="00A97A1E"/>
    <w:rsid w:val="00A97F83"/>
    <w:rsid w:val="00AA025A"/>
    <w:rsid w:val="00AA332C"/>
    <w:rsid w:val="00AB3C37"/>
    <w:rsid w:val="00AB5898"/>
    <w:rsid w:val="00AC14D8"/>
    <w:rsid w:val="00AC24C7"/>
    <w:rsid w:val="00AC27F8"/>
    <w:rsid w:val="00AC3748"/>
    <w:rsid w:val="00AC6063"/>
    <w:rsid w:val="00AD4C72"/>
    <w:rsid w:val="00AD6095"/>
    <w:rsid w:val="00AD7F4D"/>
    <w:rsid w:val="00AE20ED"/>
    <w:rsid w:val="00AE2AEE"/>
    <w:rsid w:val="00B0546F"/>
    <w:rsid w:val="00B11391"/>
    <w:rsid w:val="00B1394B"/>
    <w:rsid w:val="00B2034A"/>
    <w:rsid w:val="00B230EC"/>
    <w:rsid w:val="00B32EE1"/>
    <w:rsid w:val="00B50DC4"/>
    <w:rsid w:val="00B56EDC"/>
    <w:rsid w:val="00B67C16"/>
    <w:rsid w:val="00B711E4"/>
    <w:rsid w:val="00B75FFA"/>
    <w:rsid w:val="00B85492"/>
    <w:rsid w:val="00BA3A6E"/>
    <w:rsid w:val="00BA6CD4"/>
    <w:rsid w:val="00BB1F84"/>
    <w:rsid w:val="00BD5198"/>
    <w:rsid w:val="00BE21F5"/>
    <w:rsid w:val="00BE5468"/>
    <w:rsid w:val="00C11EAC"/>
    <w:rsid w:val="00C16050"/>
    <w:rsid w:val="00C240EA"/>
    <w:rsid w:val="00C253A6"/>
    <w:rsid w:val="00C305D7"/>
    <w:rsid w:val="00C30F2A"/>
    <w:rsid w:val="00C34369"/>
    <w:rsid w:val="00C43456"/>
    <w:rsid w:val="00C56ABD"/>
    <w:rsid w:val="00C65C0C"/>
    <w:rsid w:val="00C66285"/>
    <w:rsid w:val="00C703BD"/>
    <w:rsid w:val="00C73812"/>
    <w:rsid w:val="00C73915"/>
    <w:rsid w:val="00C7781A"/>
    <w:rsid w:val="00C808FC"/>
    <w:rsid w:val="00C81890"/>
    <w:rsid w:val="00C84737"/>
    <w:rsid w:val="00C91991"/>
    <w:rsid w:val="00C93864"/>
    <w:rsid w:val="00CA01B7"/>
    <w:rsid w:val="00CB3B87"/>
    <w:rsid w:val="00CC5DCA"/>
    <w:rsid w:val="00CC7FAF"/>
    <w:rsid w:val="00CD3A04"/>
    <w:rsid w:val="00CD41C7"/>
    <w:rsid w:val="00CD5DAD"/>
    <w:rsid w:val="00CD7D97"/>
    <w:rsid w:val="00CE3EE6"/>
    <w:rsid w:val="00CE4BA1"/>
    <w:rsid w:val="00CE6FA5"/>
    <w:rsid w:val="00CF2ECA"/>
    <w:rsid w:val="00D000C7"/>
    <w:rsid w:val="00D05F79"/>
    <w:rsid w:val="00D14135"/>
    <w:rsid w:val="00D24621"/>
    <w:rsid w:val="00D52A9D"/>
    <w:rsid w:val="00D55AAD"/>
    <w:rsid w:val="00D73841"/>
    <w:rsid w:val="00D747AE"/>
    <w:rsid w:val="00D75C78"/>
    <w:rsid w:val="00D9226C"/>
    <w:rsid w:val="00D95AAF"/>
    <w:rsid w:val="00D95AE2"/>
    <w:rsid w:val="00DA20BD"/>
    <w:rsid w:val="00DD3D34"/>
    <w:rsid w:val="00DE50DB"/>
    <w:rsid w:val="00DF48FE"/>
    <w:rsid w:val="00DF6AE1"/>
    <w:rsid w:val="00DF6FDB"/>
    <w:rsid w:val="00E07372"/>
    <w:rsid w:val="00E1038A"/>
    <w:rsid w:val="00E21FE6"/>
    <w:rsid w:val="00E23164"/>
    <w:rsid w:val="00E33EDF"/>
    <w:rsid w:val="00E36DC1"/>
    <w:rsid w:val="00E41957"/>
    <w:rsid w:val="00E46FD5"/>
    <w:rsid w:val="00E544BB"/>
    <w:rsid w:val="00E56545"/>
    <w:rsid w:val="00E61172"/>
    <w:rsid w:val="00E71BD3"/>
    <w:rsid w:val="00E85004"/>
    <w:rsid w:val="00E85CC9"/>
    <w:rsid w:val="00E938D7"/>
    <w:rsid w:val="00E93BD1"/>
    <w:rsid w:val="00EA5333"/>
    <w:rsid w:val="00EA5D4F"/>
    <w:rsid w:val="00EB1EA3"/>
    <w:rsid w:val="00EB4579"/>
    <w:rsid w:val="00EB52AA"/>
    <w:rsid w:val="00EB6C56"/>
    <w:rsid w:val="00EB6F21"/>
    <w:rsid w:val="00EC65F5"/>
    <w:rsid w:val="00EC68DE"/>
    <w:rsid w:val="00EC74C4"/>
    <w:rsid w:val="00ED54E0"/>
    <w:rsid w:val="00ED68E6"/>
    <w:rsid w:val="00EF27BD"/>
    <w:rsid w:val="00F01C13"/>
    <w:rsid w:val="00F126F2"/>
    <w:rsid w:val="00F14136"/>
    <w:rsid w:val="00F32397"/>
    <w:rsid w:val="00F35869"/>
    <w:rsid w:val="00F40595"/>
    <w:rsid w:val="00F5039C"/>
    <w:rsid w:val="00F6232C"/>
    <w:rsid w:val="00F716C6"/>
    <w:rsid w:val="00F77835"/>
    <w:rsid w:val="00F77FF4"/>
    <w:rsid w:val="00F8475B"/>
    <w:rsid w:val="00F90B08"/>
    <w:rsid w:val="00F97153"/>
    <w:rsid w:val="00FA5EBC"/>
    <w:rsid w:val="00FA7B13"/>
    <w:rsid w:val="00FC7CCF"/>
    <w:rsid w:val="00FC7EDA"/>
    <w:rsid w:val="00FD0A09"/>
    <w:rsid w:val="00FD224A"/>
    <w:rsid w:val="00FD6CF3"/>
    <w:rsid w:val="00FD79BF"/>
    <w:rsid w:val="00FF4616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30A38"/>
  <w15:docId w15:val="{D83AD73C-C787-4BBF-B577-45A1C787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87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7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E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786C"/>
    <w:pPr>
      <w:spacing w:after="0" w:line="240" w:lineRule="auto"/>
    </w:pPr>
    <w:rPr>
      <w:rFonts w:ascii="Verdana" w:hAnsi="Verdana"/>
      <w:sz w:val="18"/>
    </w:rPr>
  </w:style>
  <w:style w:type="character" w:customStyle="1" w:styleId="ui-provider">
    <w:name w:val="ui-provider"/>
    <w:basedOn w:val="DefaultParagraphFont"/>
    <w:rsid w:val="0032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o.org/english/tratop_e/tbt_e/tbt_0811202410_e/tbt_0811202410_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B4F6-1A6B-4133-AD52-E6C26891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2882</CharactersWithSpaces>
  <SharedDoc>false</SharedDoc>
  <HLinks>
    <vt:vector size="6" baseType="variant">
      <vt:variant>
        <vt:i4>4653083</vt:i4>
      </vt:variant>
      <vt:variant>
        <vt:i4>0</vt:i4>
      </vt:variant>
      <vt:variant>
        <vt:i4>0</vt:i4>
      </vt:variant>
      <vt:variant>
        <vt:i4>5</vt:i4>
      </vt:variant>
      <vt:variant>
        <vt:lpwstr>https://www.wto.org/english/tratop_e/tbt_e/tbt_0811202410_e/tbt_0811202410_e.htm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McDaniels, Devin</dc:creator>
  <cp:keywords/>
  <cp:lastModifiedBy>Flanagan, Una</cp:lastModifiedBy>
  <cp:revision>2</cp:revision>
  <dcterms:created xsi:type="dcterms:W3CDTF">2024-10-14T08:49:00Z</dcterms:created>
  <dcterms:modified xsi:type="dcterms:W3CDTF">2024-10-14T08:49:00Z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7491fda9-1cb5-42bd-9b88-b0f3302893d3</vt:lpwstr>
  </property>
</Properties>
</file>