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A7" w:rsidRDefault="00F56464" w:rsidP="00C3526B">
      <w:pPr>
        <w:jc w:val="center"/>
        <w:rPr>
          <w:b/>
          <w:sz w:val="18"/>
        </w:rPr>
      </w:pPr>
      <w:r>
        <w:rPr>
          <w:b/>
          <w:sz w:val="18"/>
        </w:rPr>
        <w:t>WTO – ASEAN TRADE POLICY</w:t>
      </w:r>
      <w:r w:rsidR="00E43E2C">
        <w:rPr>
          <w:b/>
          <w:sz w:val="18"/>
        </w:rPr>
        <w:t xml:space="preserve"> DIALOGUE</w:t>
      </w:r>
    </w:p>
    <w:p w:rsidR="006373A7" w:rsidRDefault="006373A7" w:rsidP="00C3526B">
      <w:pPr>
        <w:pStyle w:val="BodyText"/>
        <w:jc w:val="center"/>
        <w:rPr>
          <w:b/>
          <w:sz w:val="19"/>
        </w:rPr>
      </w:pPr>
    </w:p>
    <w:p w:rsidR="006373A7" w:rsidRDefault="00E43E2C" w:rsidP="00C3526B">
      <w:pPr>
        <w:jc w:val="center"/>
        <w:rPr>
          <w:i/>
          <w:sz w:val="18"/>
        </w:rPr>
      </w:pPr>
      <w:r>
        <w:rPr>
          <w:i/>
          <w:sz w:val="18"/>
        </w:rPr>
        <w:t xml:space="preserve">"WTO Reform: Perspectives from </w:t>
      </w:r>
      <w:r w:rsidR="00F56464">
        <w:rPr>
          <w:i/>
          <w:sz w:val="18"/>
        </w:rPr>
        <w:t xml:space="preserve">ASEAN </w:t>
      </w:r>
      <w:r>
        <w:rPr>
          <w:i/>
          <w:sz w:val="18"/>
        </w:rPr>
        <w:t>Countries"</w:t>
      </w:r>
    </w:p>
    <w:p w:rsidR="006373A7" w:rsidRDefault="006373A7" w:rsidP="00C3526B">
      <w:pPr>
        <w:pStyle w:val="BodyText"/>
        <w:jc w:val="center"/>
        <w:rPr>
          <w:i/>
          <w:sz w:val="19"/>
        </w:rPr>
      </w:pPr>
    </w:p>
    <w:p w:rsidR="006373A7" w:rsidRDefault="00F56464" w:rsidP="00C3526B">
      <w:pPr>
        <w:pStyle w:val="BodyText"/>
        <w:jc w:val="center"/>
      </w:pPr>
      <w:r>
        <w:t xml:space="preserve">Bangkok </w:t>
      </w:r>
      <w:r w:rsidR="00C3526B">
        <w:t>14 -15 March 2019</w:t>
      </w:r>
    </w:p>
    <w:p w:rsidR="00F879A0" w:rsidRDefault="00F879A0" w:rsidP="00C3526B">
      <w:pPr>
        <w:pStyle w:val="BodyText"/>
        <w:jc w:val="center"/>
      </w:pPr>
    </w:p>
    <w:p w:rsidR="00F879A0" w:rsidRDefault="00F879A0" w:rsidP="00F879A0">
      <w:pPr>
        <w:pStyle w:val="BodyText"/>
        <w:jc w:val="center"/>
        <w:rPr>
          <w:b/>
        </w:rPr>
      </w:pPr>
      <w:r w:rsidRPr="00F879A0">
        <w:rPr>
          <w:b/>
        </w:rPr>
        <w:t>Anantara Riverside Bangkok Resort</w:t>
      </w:r>
    </w:p>
    <w:p w:rsidR="00F879A0" w:rsidRPr="00F879A0" w:rsidRDefault="00F879A0" w:rsidP="00F879A0">
      <w:pPr>
        <w:pStyle w:val="BodyText"/>
        <w:jc w:val="center"/>
        <w:rPr>
          <w:lang w:val="en-GB"/>
        </w:rPr>
      </w:pPr>
      <w:bookmarkStart w:id="0" w:name="_GoBack"/>
      <w:bookmarkEnd w:id="0"/>
    </w:p>
    <w:p w:rsidR="006373A7" w:rsidRDefault="00E43E2C" w:rsidP="00C3526B">
      <w:pPr>
        <w:pStyle w:val="BodyText"/>
        <w:jc w:val="center"/>
      </w:pPr>
      <w:r>
        <w:rPr>
          <w:u w:val="single"/>
        </w:rPr>
        <w:t>TENTATIVE AGENDA</w:t>
      </w:r>
    </w:p>
    <w:p w:rsidR="006373A7" w:rsidRDefault="006373A7">
      <w:pPr>
        <w:pStyle w:val="BodyText"/>
        <w:spacing w:before="10"/>
        <w:rPr>
          <w:sz w:val="25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353"/>
      </w:tblGrid>
      <w:tr w:rsidR="006373A7">
        <w:trPr>
          <w:trHeight w:hRule="exact" w:val="229"/>
        </w:trPr>
        <w:tc>
          <w:tcPr>
            <w:tcW w:w="1697" w:type="dxa"/>
            <w:shd w:val="clear" w:color="auto" w:fill="006183"/>
          </w:tcPr>
          <w:p w:rsidR="006373A7" w:rsidRDefault="00E43E2C">
            <w:pPr>
              <w:pStyle w:val="TableParagraph"/>
              <w:spacing w:line="218" w:lineRule="exact"/>
              <w:ind w:left="195" w:right="19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TIME</w:t>
            </w:r>
          </w:p>
        </w:tc>
        <w:tc>
          <w:tcPr>
            <w:tcW w:w="7353" w:type="dxa"/>
            <w:tcBorders>
              <w:right w:val="single" w:sz="5" w:space="0" w:color="000000"/>
            </w:tcBorders>
            <w:shd w:val="clear" w:color="auto" w:fill="006183"/>
          </w:tcPr>
          <w:p w:rsidR="006373A7" w:rsidRDefault="00E43E2C">
            <w:pPr>
              <w:pStyle w:val="TableParagraph"/>
              <w:spacing w:line="218" w:lineRule="exact"/>
              <w:ind w:left="3200" w:right="319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</w:tr>
      <w:tr w:rsidR="00C3526B">
        <w:trPr>
          <w:trHeight w:hRule="exact" w:val="666"/>
        </w:trPr>
        <w:tc>
          <w:tcPr>
            <w:tcW w:w="1697" w:type="dxa"/>
            <w:shd w:val="clear" w:color="auto" w:fill="DBE4F0"/>
          </w:tcPr>
          <w:p w:rsidR="00C3526B" w:rsidRDefault="00C3526B">
            <w:pPr>
              <w:pStyle w:val="TableParagraph"/>
              <w:spacing w:before="12"/>
              <w:ind w:left="0"/>
              <w:rPr>
                <w:sz w:val="17"/>
              </w:rPr>
            </w:pPr>
            <w:bookmarkStart w:id="1" w:name="_Hlk536177682"/>
          </w:p>
        </w:tc>
        <w:tc>
          <w:tcPr>
            <w:tcW w:w="7353" w:type="dxa"/>
            <w:shd w:val="clear" w:color="auto" w:fill="DBE4F0"/>
          </w:tcPr>
          <w:p w:rsidR="00C3526B" w:rsidRPr="00512005" w:rsidRDefault="00C3526B">
            <w:pPr>
              <w:pStyle w:val="TableParagraph"/>
              <w:spacing w:before="12"/>
              <w:ind w:left="0"/>
              <w:rPr>
                <w:b/>
                <w:sz w:val="28"/>
                <w:szCs w:val="28"/>
              </w:rPr>
            </w:pPr>
            <w:r w:rsidRPr="00512005">
              <w:rPr>
                <w:b/>
                <w:sz w:val="28"/>
                <w:szCs w:val="28"/>
              </w:rPr>
              <w:t>Thursday 14 March 2019</w:t>
            </w:r>
          </w:p>
        </w:tc>
      </w:tr>
      <w:bookmarkEnd w:id="1"/>
      <w:tr w:rsidR="006373A7">
        <w:trPr>
          <w:trHeight w:hRule="exact" w:val="666"/>
        </w:trPr>
        <w:tc>
          <w:tcPr>
            <w:tcW w:w="1697" w:type="dxa"/>
            <w:shd w:val="clear" w:color="auto" w:fill="DBE4F0"/>
          </w:tcPr>
          <w:p w:rsidR="006373A7" w:rsidRDefault="006373A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6373A7" w:rsidRDefault="00E43E2C">
            <w:pPr>
              <w:pStyle w:val="TableParagraph"/>
              <w:ind w:left="195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08:00-08:30</w:t>
            </w:r>
          </w:p>
        </w:tc>
        <w:tc>
          <w:tcPr>
            <w:tcW w:w="7353" w:type="dxa"/>
            <w:shd w:val="clear" w:color="auto" w:fill="DBE4F0"/>
          </w:tcPr>
          <w:p w:rsidR="006373A7" w:rsidRDefault="006373A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6373A7" w:rsidRDefault="00E43E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Arrival of participants</w:t>
            </w:r>
            <w:r w:rsidR="00C3526B">
              <w:rPr>
                <w:b/>
                <w:sz w:val="18"/>
              </w:rPr>
              <w:t xml:space="preserve"> and registration</w:t>
            </w:r>
          </w:p>
        </w:tc>
      </w:tr>
      <w:tr w:rsidR="006373A7" w:rsidTr="00C3526B">
        <w:trPr>
          <w:trHeight w:hRule="exact" w:val="1548"/>
        </w:trPr>
        <w:tc>
          <w:tcPr>
            <w:tcW w:w="1697" w:type="dxa"/>
          </w:tcPr>
          <w:p w:rsidR="006373A7" w:rsidRDefault="00E43E2C">
            <w:pPr>
              <w:pStyle w:val="TableParagraph"/>
              <w:spacing w:line="218" w:lineRule="exact"/>
              <w:ind w:left="195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08:30-09:00</w:t>
            </w:r>
          </w:p>
        </w:tc>
        <w:tc>
          <w:tcPr>
            <w:tcW w:w="7353" w:type="dxa"/>
          </w:tcPr>
          <w:p w:rsidR="006373A7" w:rsidRDefault="00C3526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Opening</w:t>
            </w:r>
            <w:r w:rsidR="00E43E2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Ceremony</w:t>
            </w:r>
          </w:p>
          <w:p w:rsidR="006373A7" w:rsidRDefault="006373A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6373A7" w:rsidRDefault="00E43E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Opening Remarks:</w:t>
            </w:r>
          </w:p>
          <w:p w:rsidR="006373A7" w:rsidRDefault="006373A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C3526B" w:rsidRDefault="00C3526B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Representative of the WTO</w:t>
            </w:r>
          </w:p>
          <w:p w:rsidR="006373A7" w:rsidRPr="00C3526B" w:rsidRDefault="00C3526B" w:rsidP="00C3526B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Representative of Thailand in the name of ASEAN</w:t>
            </w:r>
          </w:p>
        </w:tc>
      </w:tr>
      <w:tr w:rsidR="006373A7">
        <w:trPr>
          <w:trHeight w:hRule="exact" w:val="228"/>
        </w:trPr>
        <w:tc>
          <w:tcPr>
            <w:tcW w:w="1697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ind w:left="195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09:00-09:15</w:t>
            </w:r>
          </w:p>
        </w:tc>
        <w:tc>
          <w:tcPr>
            <w:tcW w:w="7353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Photo session</w:t>
            </w:r>
          </w:p>
        </w:tc>
      </w:tr>
      <w:tr w:rsidR="006373A7">
        <w:trPr>
          <w:trHeight w:hRule="exact" w:val="3948"/>
        </w:trPr>
        <w:tc>
          <w:tcPr>
            <w:tcW w:w="1697" w:type="dxa"/>
          </w:tcPr>
          <w:p w:rsidR="006373A7" w:rsidRDefault="00E43E2C">
            <w:pPr>
              <w:pStyle w:val="TableParagraph"/>
              <w:spacing w:line="218" w:lineRule="exact"/>
              <w:ind w:left="195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09:15-10:45</w:t>
            </w:r>
          </w:p>
        </w:tc>
        <w:tc>
          <w:tcPr>
            <w:tcW w:w="7353" w:type="dxa"/>
          </w:tcPr>
          <w:p w:rsidR="006373A7" w:rsidRDefault="00E43E2C">
            <w:pPr>
              <w:pStyle w:val="TableParagraph"/>
              <w:spacing w:line="21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 1: Recent proposals on WTO Reform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373A7" w:rsidRDefault="00E43E2C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Since MC11, both in the WTO and in other forums, discussion</w:t>
            </w:r>
            <w:r w:rsidR="00C3526B">
              <w:rPr>
                <w:sz w:val="18"/>
              </w:rPr>
              <w:t>s</w:t>
            </w:r>
            <w:r>
              <w:rPr>
                <w:sz w:val="18"/>
              </w:rPr>
              <w:t xml:space="preserve"> ha</w:t>
            </w:r>
            <w:r w:rsidR="00C3526B">
              <w:rPr>
                <w:sz w:val="18"/>
              </w:rPr>
              <w:t>ve</w:t>
            </w:r>
            <w:r>
              <w:rPr>
                <w:sz w:val="18"/>
              </w:rPr>
              <w:t xml:space="preserve"> been ini</w:t>
            </w:r>
            <w:r w:rsidR="00C3526B">
              <w:rPr>
                <w:sz w:val="18"/>
              </w:rPr>
              <w:t>tiated on WTO reforms. S</w:t>
            </w:r>
            <w:r>
              <w:rPr>
                <w:sz w:val="18"/>
              </w:rPr>
              <w:t xml:space="preserve">ome Members have tabled proposals in this regard; concept notes have also been circulated. These submissions touch on three broad </w:t>
            </w:r>
            <w:r w:rsidR="00C3526B">
              <w:rPr>
                <w:sz w:val="18"/>
              </w:rPr>
              <w:t>areas</w:t>
            </w:r>
            <w:r>
              <w:rPr>
                <w:sz w:val="18"/>
              </w:rPr>
              <w:t>: 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) monitoring and transparency functions of WTO; (ii) rulemaking and negotiations; and (iii) dispute settlement system. </w:t>
            </w:r>
            <w:r w:rsidR="00C3526B">
              <w:rPr>
                <w:sz w:val="18"/>
              </w:rPr>
              <w:t xml:space="preserve">In the absence of the proponents (Canada, EU, Honduras, </w:t>
            </w:r>
            <w:r w:rsidR="008102A6">
              <w:rPr>
                <w:sz w:val="18"/>
              </w:rPr>
              <w:t>etc.</w:t>
            </w:r>
            <w:r w:rsidR="00C3526B">
              <w:rPr>
                <w:sz w:val="18"/>
              </w:rPr>
              <w:t>) who could have presented their respective submissions; t</w:t>
            </w:r>
            <w:r>
              <w:rPr>
                <w:sz w:val="18"/>
              </w:rPr>
              <w:t>his session will provide a</w:t>
            </w:r>
            <w:r w:rsidR="00C3526B">
              <w:rPr>
                <w:sz w:val="18"/>
              </w:rPr>
              <w:t xml:space="preserve"> factual summary of these submissions </w:t>
            </w:r>
            <w:r>
              <w:rPr>
                <w:sz w:val="18"/>
              </w:rPr>
              <w:t>and to have an interactive discussion with the participants.</w:t>
            </w:r>
          </w:p>
          <w:p w:rsidR="006373A7" w:rsidRDefault="006373A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373A7" w:rsidRDefault="00E43E2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Moderator</w:t>
            </w:r>
            <w:r>
              <w:rPr>
                <w:sz w:val="18"/>
              </w:rPr>
              <w:t xml:space="preserve">: 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373A7" w:rsidRDefault="008102A6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Panelists</w:t>
            </w:r>
            <w:r w:rsidR="00E43E2C">
              <w:rPr>
                <w:b/>
                <w:sz w:val="18"/>
              </w:rPr>
              <w:t>: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102A6" w:rsidRDefault="008102A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WTO Representative</w:t>
            </w:r>
          </w:p>
          <w:p w:rsidR="008102A6" w:rsidRDefault="008102A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Delegate from an ASEAN country</w:t>
            </w:r>
          </w:p>
          <w:p w:rsidR="006373A7" w:rsidRDefault="006373A7" w:rsidP="008102A6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z w:val="18"/>
              </w:rPr>
            </w:pPr>
          </w:p>
        </w:tc>
      </w:tr>
      <w:tr w:rsidR="006373A7">
        <w:trPr>
          <w:trHeight w:hRule="exact" w:val="228"/>
        </w:trPr>
        <w:tc>
          <w:tcPr>
            <w:tcW w:w="1697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ind w:left="195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10:45-11:00</w:t>
            </w:r>
          </w:p>
        </w:tc>
        <w:tc>
          <w:tcPr>
            <w:tcW w:w="7353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Coffee break</w:t>
            </w:r>
          </w:p>
        </w:tc>
      </w:tr>
      <w:tr w:rsidR="006373A7" w:rsidTr="008102A6">
        <w:trPr>
          <w:trHeight w:hRule="exact" w:val="3943"/>
        </w:trPr>
        <w:tc>
          <w:tcPr>
            <w:tcW w:w="1697" w:type="dxa"/>
          </w:tcPr>
          <w:p w:rsidR="006373A7" w:rsidRDefault="008102A6">
            <w:pPr>
              <w:pStyle w:val="TableParagraph"/>
              <w:spacing w:line="218" w:lineRule="exact"/>
              <w:ind w:left="195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11:00-13:00</w:t>
            </w:r>
          </w:p>
        </w:tc>
        <w:tc>
          <w:tcPr>
            <w:tcW w:w="7353" w:type="dxa"/>
          </w:tcPr>
          <w:p w:rsidR="006373A7" w:rsidRDefault="00E43E2C">
            <w:pPr>
              <w:pStyle w:val="TableParagraph"/>
              <w:spacing w:line="21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 2: Developmental Perspectives on WTO Reform</w:t>
            </w:r>
          </w:p>
          <w:p w:rsidR="006373A7" w:rsidRDefault="006373A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373A7" w:rsidRDefault="00E43E2C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Views are being expressed by a wide range of Members, including given the far-reaching implications of some of the elements being proposed under WTO Reform. A strong call has also been made to make these efforts pro- developmental,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preserve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strengthen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development dimension of the multilateral trading system. This session will provide an opportunity to the participants to hear the perspectives of some Members and experts on WTO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Reform.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373A7" w:rsidRDefault="00E43E2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Moderator</w:t>
            </w:r>
            <w:r>
              <w:rPr>
                <w:sz w:val="18"/>
              </w:rPr>
              <w:t xml:space="preserve">: 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373A7" w:rsidRDefault="008102A6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Panelists</w:t>
            </w:r>
            <w:r w:rsidR="00E43E2C">
              <w:rPr>
                <w:b/>
                <w:sz w:val="18"/>
              </w:rPr>
              <w:t>: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102A6" w:rsidRDefault="008102A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…</w:t>
            </w:r>
          </w:p>
          <w:p w:rsidR="008102A6" w:rsidRDefault="008102A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…</w:t>
            </w:r>
          </w:p>
          <w:p w:rsidR="006373A7" w:rsidRPr="008102A6" w:rsidRDefault="008102A6" w:rsidP="008102A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6373A7" w:rsidTr="00EA1FB3">
        <w:trPr>
          <w:trHeight w:hRule="exact" w:val="569"/>
        </w:trPr>
        <w:tc>
          <w:tcPr>
            <w:tcW w:w="1697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ind w:left="195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</w:t>
            </w:r>
            <w:r w:rsidR="008102A6"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>-14:</w:t>
            </w:r>
            <w:r w:rsidR="008102A6">
              <w:rPr>
                <w:b/>
                <w:sz w:val="18"/>
              </w:rPr>
              <w:t>0</w:t>
            </w:r>
          </w:p>
        </w:tc>
        <w:tc>
          <w:tcPr>
            <w:tcW w:w="7353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Lunch break</w:t>
            </w:r>
          </w:p>
        </w:tc>
      </w:tr>
    </w:tbl>
    <w:p w:rsidR="006373A7" w:rsidRDefault="006373A7">
      <w:pPr>
        <w:spacing w:line="218" w:lineRule="exact"/>
        <w:rPr>
          <w:sz w:val="18"/>
        </w:rPr>
        <w:sectPr w:rsidR="006373A7">
          <w:type w:val="continuous"/>
          <w:pgSz w:w="11910" w:h="16840"/>
          <w:pgMar w:top="1160" w:right="1280" w:bottom="280" w:left="1340" w:header="720" w:footer="720" w:gutter="0"/>
          <w:cols w:space="720"/>
        </w:sectPr>
      </w:pPr>
    </w:p>
    <w:p w:rsidR="006373A7" w:rsidRDefault="006373A7">
      <w:pPr>
        <w:pStyle w:val="BodyText"/>
        <w:rPr>
          <w:rFonts w:ascii="Times New Roman"/>
          <w:sz w:val="20"/>
        </w:rPr>
      </w:pPr>
    </w:p>
    <w:p w:rsidR="006373A7" w:rsidRDefault="006373A7">
      <w:pPr>
        <w:pStyle w:val="BodyText"/>
        <w:rPr>
          <w:rFonts w:ascii="Times New Roman"/>
          <w:sz w:val="20"/>
        </w:rPr>
      </w:pPr>
    </w:p>
    <w:p w:rsidR="006373A7" w:rsidRDefault="006373A7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7516"/>
      </w:tblGrid>
      <w:tr w:rsidR="006373A7">
        <w:trPr>
          <w:trHeight w:hRule="exact" w:val="228"/>
        </w:trPr>
        <w:tc>
          <w:tcPr>
            <w:tcW w:w="1502" w:type="dxa"/>
            <w:shd w:val="clear" w:color="auto" w:fill="006183"/>
          </w:tcPr>
          <w:p w:rsidR="006373A7" w:rsidRDefault="00E43E2C">
            <w:pPr>
              <w:pStyle w:val="TableParagraph"/>
              <w:spacing w:line="218" w:lineRule="exact"/>
              <w:ind w:left="97" w:right="9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TIME</w:t>
            </w:r>
          </w:p>
        </w:tc>
        <w:tc>
          <w:tcPr>
            <w:tcW w:w="7516" w:type="dxa"/>
            <w:shd w:val="clear" w:color="auto" w:fill="006183"/>
          </w:tcPr>
          <w:p w:rsidR="006373A7" w:rsidRDefault="00E43E2C">
            <w:pPr>
              <w:pStyle w:val="TableParagraph"/>
              <w:spacing w:line="218" w:lineRule="exact"/>
              <w:ind w:left="3277" w:right="32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</w:tr>
      <w:tr w:rsidR="006373A7">
        <w:trPr>
          <w:trHeight w:hRule="exact" w:val="3730"/>
        </w:trPr>
        <w:tc>
          <w:tcPr>
            <w:tcW w:w="1502" w:type="dxa"/>
          </w:tcPr>
          <w:p w:rsidR="006373A7" w:rsidRDefault="00E43E2C">
            <w:pPr>
              <w:pStyle w:val="TableParagraph"/>
              <w:spacing w:before="1"/>
              <w:ind w:left="97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</w:t>
            </w:r>
            <w:r w:rsidR="00ED05FF"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>-1</w:t>
            </w:r>
            <w:r w:rsidR="00ED05FF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:</w:t>
            </w:r>
            <w:r w:rsidR="00ED05FF">
              <w:rPr>
                <w:b/>
                <w:sz w:val="18"/>
              </w:rPr>
              <w:t>30</w:t>
            </w:r>
          </w:p>
        </w:tc>
        <w:tc>
          <w:tcPr>
            <w:tcW w:w="7516" w:type="dxa"/>
          </w:tcPr>
          <w:p w:rsidR="006373A7" w:rsidRDefault="00E43E2C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 3: Dispute Settlement System</w:t>
            </w:r>
          </w:p>
          <w:p w:rsidR="006373A7" w:rsidRDefault="006373A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6373A7" w:rsidRDefault="00E43E2C">
            <w:pPr>
              <w:pStyle w:val="TableParagraph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WTO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unprecedented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challenge,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especially</w:t>
            </w:r>
            <w:r>
              <w:rPr>
                <w:spacing w:val="-6"/>
                <w:sz w:val="18"/>
              </w:rPr>
              <w:t xml:space="preserve"> </w:t>
            </w:r>
            <w:r w:rsidR="00ED05FF">
              <w:rPr>
                <w:sz w:val="18"/>
              </w:rPr>
              <w:t>about</w:t>
            </w:r>
            <w:r>
              <w:rPr>
                <w:sz w:val="18"/>
              </w:rPr>
              <w:t xml:space="preserve"> its dispute </w:t>
            </w:r>
            <w:r w:rsidR="00512005">
              <w:rPr>
                <w:sz w:val="18"/>
              </w:rPr>
              <w:t>settlement functioning and the Appellate B</w:t>
            </w:r>
            <w:r>
              <w:rPr>
                <w:sz w:val="18"/>
              </w:rPr>
              <w:t>ody</w:t>
            </w:r>
            <w:r w:rsidR="00512005">
              <w:rPr>
                <w:sz w:val="18"/>
              </w:rPr>
              <w:t xml:space="preserve"> </w:t>
            </w:r>
            <w:r>
              <w:rPr>
                <w:sz w:val="18"/>
              </w:rPr>
              <w:t>in particular. This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opportunity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 examine the functioning of the DSB and the elements being suggested to strengthen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  <w:p w:rsidR="006373A7" w:rsidRDefault="006373A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6373A7" w:rsidRDefault="00E43E2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Moderator: 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6373A7" w:rsidRDefault="0051200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Panelists</w:t>
            </w:r>
            <w:r w:rsidR="00E43E2C">
              <w:rPr>
                <w:b/>
                <w:sz w:val="18"/>
              </w:rPr>
              <w:t>:</w:t>
            </w:r>
          </w:p>
          <w:p w:rsidR="006373A7" w:rsidRDefault="006373A7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EA1FB3" w:rsidRDefault="00EA1FB3" w:rsidP="00EA1FB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...</w:t>
            </w:r>
          </w:p>
          <w:p w:rsidR="006373A7" w:rsidRDefault="00EA1FB3" w:rsidP="00EA1FB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512005" w:rsidTr="00512005">
        <w:trPr>
          <w:trHeight w:hRule="exact" w:val="55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12005" w:rsidRPr="00512005" w:rsidRDefault="00512005" w:rsidP="00512005">
            <w:pPr>
              <w:pStyle w:val="TableParagraph"/>
              <w:spacing w:before="1"/>
              <w:ind w:left="97" w:right="99"/>
              <w:jc w:val="center"/>
              <w:rPr>
                <w:b/>
                <w:sz w:val="18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12005" w:rsidRPr="00512005" w:rsidRDefault="00512005" w:rsidP="00512005">
            <w:pPr>
              <w:pStyle w:val="TableParagraph"/>
              <w:spacing w:befor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512005">
              <w:rPr>
                <w:b/>
                <w:sz w:val="28"/>
                <w:szCs w:val="28"/>
              </w:rPr>
              <w:t xml:space="preserve"> 1</w:t>
            </w:r>
            <w:r w:rsidR="00EA1FB3">
              <w:rPr>
                <w:b/>
                <w:sz w:val="28"/>
                <w:szCs w:val="28"/>
              </w:rPr>
              <w:t>5</w:t>
            </w:r>
            <w:r w:rsidRPr="00512005">
              <w:rPr>
                <w:b/>
                <w:sz w:val="28"/>
                <w:szCs w:val="28"/>
              </w:rPr>
              <w:t xml:space="preserve"> March 2019</w:t>
            </w:r>
          </w:p>
        </w:tc>
      </w:tr>
      <w:tr w:rsidR="006373A7" w:rsidTr="00EA1FB3">
        <w:trPr>
          <w:trHeight w:hRule="exact" w:val="3116"/>
        </w:trPr>
        <w:tc>
          <w:tcPr>
            <w:tcW w:w="1502" w:type="dxa"/>
          </w:tcPr>
          <w:p w:rsidR="006373A7" w:rsidRDefault="00EA1FB3">
            <w:pPr>
              <w:pStyle w:val="TableParagraph"/>
              <w:spacing w:line="218" w:lineRule="exact"/>
              <w:ind w:left="97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  <w:r w:rsidR="00E43E2C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00</w:t>
            </w:r>
            <w:r w:rsidR="00E43E2C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="00E43E2C">
              <w:rPr>
                <w:b/>
                <w:sz w:val="18"/>
              </w:rPr>
              <w:t>:15</w:t>
            </w:r>
          </w:p>
        </w:tc>
        <w:tc>
          <w:tcPr>
            <w:tcW w:w="7516" w:type="dxa"/>
          </w:tcPr>
          <w:p w:rsidR="006373A7" w:rsidRDefault="00E43E2C">
            <w:pPr>
              <w:pStyle w:val="TableParagraph"/>
              <w:spacing w:line="21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 4: Rulemaking and Negotiations</w:t>
            </w:r>
          </w:p>
          <w:p w:rsidR="006373A7" w:rsidRDefault="006373A7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6373A7" w:rsidRDefault="00E43E2C">
            <w:pPr>
              <w:pStyle w:val="TableParagraph"/>
              <w:spacing w:before="1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 some years, </w:t>
            </w:r>
            <w:r w:rsidR="00512005">
              <w:rPr>
                <w:sz w:val="18"/>
              </w:rPr>
              <w:t>many</w:t>
            </w:r>
            <w:r>
              <w:rPr>
                <w:sz w:val="18"/>
              </w:rPr>
              <w:t xml:space="preserve"> Members have been highlighting the need for updating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WTO.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WTO's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negotiating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come under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scrutiny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failed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 to adopt agreed Ministerial Declarations. This session will discuss different elements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proposals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interest </w:t>
            </w:r>
            <w:r w:rsidR="00512005">
              <w:rPr>
                <w:sz w:val="18"/>
              </w:rPr>
              <w:t>for ASEAN</w:t>
            </w:r>
            <w:r>
              <w:rPr>
                <w:sz w:val="18"/>
              </w:rPr>
              <w:t>.</w:t>
            </w:r>
          </w:p>
          <w:p w:rsidR="006373A7" w:rsidRDefault="006373A7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6373A7" w:rsidRDefault="00E43E2C">
            <w:pPr>
              <w:pStyle w:val="TableParagraph"/>
              <w:ind w:right="10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Moderator: </w:t>
            </w:r>
          </w:p>
          <w:p w:rsidR="006373A7" w:rsidRDefault="006373A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6373A7" w:rsidRDefault="0051200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Panelist</w:t>
            </w:r>
            <w:r w:rsidR="00E43E2C">
              <w:rPr>
                <w:b/>
                <w:sz w:val="18"/>
              </w:rPr>
              <w:t>:</w:t>
            </w:r>
          </w:p>
          <w:p w:rsidR="006373A7" w:rsidRDefault="006373A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512005" w:rsidRDefault="0051200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…</w:t>
            </w:r>
          </w:p>
          <w:p w:rsidR="006373A7" w:rsidRDefault="0051200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6373A7">
        <w:trPr>
          <w:trHeight w:hRule="exact" w:val="230"/>
        </w:trPr>
        <w:tc>
          <w:tcPr>
            <w:tcW w:w="1502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ind w:left="97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A1FB3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:15-1</w:t>
            </w:r>
            <w:r w:rsidR="00EA1FB3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:30</w:t>
            </w:r>
          </w:p>
        </w:tc>
        <w:tc>
          <w:tcPr>
            <w:tcW w:w="7516" w:type="dxa"/>
            <w:shd w:val="clear" w:color="auto" w:fill="DBE4F0"/>
          </w:tcPr>
          <w:p w:rsidR="006373A7" w:rsidRDefault="00E43E2C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Coffee Break</w:t>
            </w:r>
          </w:p>
        </w:tc>
      </w:tr>
      <w:tr w:rsidR="006373A7" w:rsidTr="00EA1FB3">
        <w:trPr>
          <w:trHeight w:hRule="exact" w:val="3461"/>
        </w:trPr>
        <w:tc>
          <w:tcPr>
            <w:tcW w:w="1502" w:type="dxa"/>
          </w:tcPr>
          <w:p w:rsidR="006373A7" w:rsidRDefault="00E43E2C">
            <w:pPr>
              <w:pStyle w:val="TableParagraph"/>
              <w:spacing w:line="218" w:lineRule="exact"/>
              <w:ind w:left="97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A1FB3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:30-1</w:t>
            </w:r>
            <w:r w:rsidR="00EA1FB3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:</w:t>
            </w:r>
            <w:r w:rsidR="00EA1FB3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7516" w:type="dxa"/>
          </w:tcPr>
          <w:p w:rsidR="006373A7" w:rsidRDefault="00E43E2C">
            <w:pPr>
              <w:pStyle w:val="TableParagraph"/>
              <w:spacing w:line="21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 5: Monitoring and Transparency Functions of WTO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6373A7" w:rsidRDefault="00E43E2C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Enhancing Transparency has been considered as one of the key functions of the WTO. Transparency has a systemic importance, as it allows the monitoring of Members’ trade measures and practices, and of their impact on the multilateral trading system. This session will seek to </w:t>
            </w:r>
            <w:r w:rsidR="00EA1FB3">
              <w:rPr>
                <w:sz w:val="18"/>
              </w:rPr>
              <w:t>assess</w:t>
            </w:r>
            <w:r>
              <w:rPr>
                <w:sz w:val="18"/>
              </w:rPr>
              <w:t xml:space="preserve"> the relevant elements being proposed by Members in this area, including in the context of strengthening the notification capacity of Members.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6373A7" w:rsidRDefault="00E43E2C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Moderator: </w:t>
            </w:r>
            <w:r w:rsidR="00EA1FB3">
              <w:rPr>
                <w:b/>
                <w:sz w:val="18"/>
              </w:rPr>
              <w:t>…</w:t>
            </w:r>
          </w:p>
          <w:p w:rsidR="006373A7" w:rsidRDefault="006373A7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6373A7" w:rsidRDefault="0051200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Panelists</w:t>
            </w:r>
            <w:r w:rsidR="00E43E2C">
              <w:rPr>
                <w:b/>
                <w:sz w:val="18"/>
              </w:rPr>
              <w:t>:</w:t>
            </w:r>
          </w:p>
          <w:p w:rsidR="006373A7" w:rsidRDefault="006373A7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EA1FB3" w:rsidRDefault="00EA1FB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..</w:t>
            </w:r>
          </w:p>
          <w:p w:rsidR="006373A7" w:rsidRPr="00EA1FB3" w:rsidRDefault="00EA1FB3" w:rsidP="00EA1FB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</w:tr>
      <w:tr w:rsidR="006373A7">
        <w:trPr>
          <w:trHeight w:hRule="exact" w:val="1544"/>
        </w:trPr>
        <w:tc>
          <w:tcPr>
            <w:tcW w:w="1502" w:type="dxa"/>
          </w:tcPr>
          <w:p w:rsidR="006373A7" w:rsidRDefault="00E43E2C">
            <w:pPr>
              <w:pStyle w:val="TableParagraph"/>
              <w:spacing w:before="1"/>
              <w:ind w:left="97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A1FB3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:</w:t>
            </w:r>
            <w:r w:rsidR="00EA1FB3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0-1</w:t>
            </w:r>
            <w:r w:rsidR="00EA1FB3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:30</w:t>
            </w:r>
          </w:p>
        </w:tc>
        <w:tc>
          <w:tcPr>
            <w:tcW w:w="7516" w:type="dxa"/>
          </w:tcPr>
          <w:p w:rsidR="006373A7" w:rsidRDefault="00EA1FB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Evaluation and </w:t>
            </w:r>
            <w:r w:rsidR="00E43E2C">
              <w:rPr>
                <w:b/>
                <w:sz w:val="18"/>
              </w:rPr>
              <w:t xml:space="preserve">Closing </w:t>
            </w:r>
            <w:r>
              <w:rPr>
                <w:b/>
                <w:sz w:val="18"/>
              </w:rPr>
              <w:t>Ceremony</w:t>
            </w:r>
          </w:p>
          <w:p w:rsidR="006373A7" w:rsidRDefault="006373A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6373A7" w:rsidRDefault="00E43E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Closing Remarks:</w:t>
            </w:r>
          </w:p>
          <w:p w:rsidR="006373A7" w:rsidRDefault="006373A7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EA1FB3" w:rsidRPr="00EA1FB3" w:rsidRDefault="00EA1FB3" w:rsidP="00EA1FB3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18"/>
              </w:rPr>
            </w:pPr>
            <w:r w:rsidRPr="00EA1FB3">
              <w:rPr>
                <w:sz w:val="18"/>
              </w:rPr>
              <w:t>Representative of the WTO</w:t>
            </w:r>
          </w:p>
          <w:p w:rsidR="006373A7" w:rsidRDefault="00EA1FB3" w:rsidP="00EA1FB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19" w:lineRule="exact"/>
              <w:rPr>
                <w:sz w:val="18"/>
              </w:rPr>
            </w:pPr>
            <w:r w:rsidRPr="00EA1FB3">
              <w:rPr>
                <w:sz w:val="18"/>
              </w:rPr>
              <w:t xml:space="preserve">Representative of Thailand in the name of ASEAN </w:t>
            </w:r>
          </w:p>
        </w:tc>
      </w:tr>
      <w:tr w:rsidR="006373A7">
        <w:trPr>
          <w:trHeight w:hRule="exact" w:val="665"/>
        </w:trPr>
        <w:tc>
          <w:tcPr>
            <w:tcW w:w="1502" w:type="dxa"/>
            <w:shd w:val="clear" w:color="auto" w:fill="DBE4F0"/>
          </w:tcPr>
          <w:p w:rsidR="006373A7" w:rsidRDefault="006373A7">
            <w:pPr>
              <w:pStyle w:val="TableParagraph"/>
              <w:ind w:left="97" w:right="99"/>
              <w:jc w:val="center"/>
              <w:rPr>
                <w:b/>
                <w:sz w:val="18"/>
              </w:rPr>
            </w:pPr>
          </w:p>
        </w:tc>
        <w:tc>
          <w:tcPr>
            <w:tcW w:w="7516" w:type="dxa"/>
            <w:shd w:val="clear" w:color="auto" w:fill="DBE4F0"/>
          </w:tcPr>
          <w:p w:rsidR="006373A7" w:rsidRDefault="00EA1FB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End of the Workshop</w:t>
            </w:r>
          </w:p>
        </w:tc>
      </w:tr>
    </w:tbl>
    <w:p w:rsidR="00E43E2C" w:rsidRDefault="00E43E2C"/>
    <w:sectPr w:rsidR="00E43E2C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705"/>
    <w:multiLevelType w:val="hybridMultilevel"/>
    <w:tmpl w:val="8250A954"/>
    <w:lvl w:ilvl="0" w:tplc="A6F47B0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B8A6E9C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C9C8885C">
      <w:numFmt w:val="bullet"/>
      <w:lvlText w:val="•"/>
      <w:lvlJc w:val="left"/>
      <w:pPr>
        <w:ind w:left="2124" w:hanging="361"/>
      </w:pPr>
      <w:rPr>
        <w:rFonts w:hint="default"/>
      </w:rPr>
    </w:lvl>
    <w:lvl w:ilvl="3" w:tplc="A3EAC710">
      <w:numFmt w:val="bullet"/>
      <w:lvlText w:val="•"/>
      <w:lvlJc w:val="left"/>
      <w:pPr>
        <w:ind w:left="2776" w:hanging="361"/>
      </w:pPr>
      <w:rPr>
        <w:rFonts w:hint="default"/>
      </w:rPr>
    </w:lvl>
    <w:lvl w:ilvl="4" w:tplc="3F5C0B1A">
      <w:numFmt w:val="bullet"/>
      <w:lvlText w:val="•"/>
      <w:lvlJc w:val="left"/>
      <w:pPr>
        <w:ind w:left="3429" w:hanging="361"/>
      </w:pPr>
      <w:rPr>
        <w:rFonts w:hint="default"/>
      </w:rPr>
    </w:lvl>
    <w:lvl w:ilvl="5" w:tplc="4732BBC6">
      <w:numFmt w:val="bullet"/>
      <w:lvlText w:val="•"/>
      <w:lvlJc w:val="left"/>
      <w:pPr>
        <w:ind w:left="4081" w:hanging="361"/>
      </w:pPr>
      <w:rPr>
        <w:rFonts w:hint="default"/>
      </w:rPr>
    </w:lvl>
    <w:lvl w:ilvl="6" w:tplc="0F707B66">
      <w:numFmt w:val="bullet"/>
      <w:lvlText w:val="•"/>
      <w:lvlJc w:val="left"/>
      <w:pPr>
        <w:ind w:left="4733" w:hanging="361"/>
      </w:pPr>
      <w:rPr>
        <w:rFonts w:hint="default"/>
      </w:rPr>
    </w:lvl>
    <w:lvl w:ilvl="7" w:tplc="56209ECE">
      <w:numFmt w:val="bullet"/>
      <w:lvlText w:val="•"/>
      <w:lvlJc w:val="left"/>
      <w:pPr>
        <w:ind w:left="5386" w:hanging="361"/>
      </w:pPr>
      <w:rPr>
        <w:rFonts w:hint="default"/>
      </w:rPr>
    </w:lvl>
    <w:lvl w:ilvl="8" w:tplc="E6DE5AFA">
      <w:numFmt w:val="bullet"/>
      <w:lvlText w:val="•"/>
      <w:lvlJc w:val="left"/>
      <w:pPr>
        <w:ind w:left="6038" w:hanging="361"/>
      </w:pPr>
      <w:rPr>
        <w:rFonts w:hint="default"/>
      </w:rPr>
    </w:lvl>
  </w:abstractNum>
  <w:abstractNum w:abstractNumId="1" w15:restartNumberingAfterBreak="0">
    <w:nsid w:val="149C5716"/>
    <w:multiLevelType w:val="hybridMultilevel"/>
    <w:tmpl w:val="43DCAB64"/>
    <w:lvl w:ilvl="0" w:tplc="CA3E6B5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7FAF2B6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C57A4B6A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83E6A098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6A34B296"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9F6C8C24"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C1E4D1B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3BF4607E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5364B23E">
      <w:numFmt w:val="bullet"/>
      <w:lvlText w:val="•"/>
      <w:lvlJc w:val="left"/>
      <w:pPr>
        <w:ind w:left="6169" w:hanging="360"/>
      </w:pPr>
      <w:rPr>
        <w:rFonts w:hint="default"/>
      </w:rPr>
    </w:lvl>
  </w:abstractNum>
  <w:abstractNum w:abstractNumId="2" w15:restartNumberingAfterBreak="0">
    <w:nsid w:val="3FBD6E2B"/>
    <w:multiLevelType w:val="hybridMultilevel"/>
    <w:tmpl w:val="83AAA9DA"/>
    <w:lvl w:ilvl="0" w:tplc="C44E9C3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5C67702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A42B044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CD90CA1E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885EF3A2"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4BA8D6B0"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ABA8FE8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4FBC777C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5FD268F6">
      <w:numFmt w:val="bullet"/>
      <w:lvlText w:val="•"/>
      <w:lvlJc w:val="left"/>
      <w:pPr>
        <w:ind w:left="6169" w:hanging="360"/>
      </w:pPr>
      <w:rPr>
        <w:rFonts w:hint="default"/>
      </w:rPr>
    </w:lvl>
  </w:abstractNum>
  <w:abstractNum w:abstractNumId="3" w15:restartNumberingAfterBreak="0">
    <w:nsid w:val="429A6103"/>
    <w:multiLevelType w:val="hybridMultilevel"/>
    <w:tmpl w:val="0B7E6000"/>
    <w:lvl w:ilvl="0" w:tplc="74DA385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BC02B2A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FF65166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15AE15FC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B4C0BCD0"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01C40D5C"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E1EA7BC6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F2460A50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F7D67202">
      <w:numFmt w:val="bullet"/>
      <w:lvlText w:val="•"/>
      <w:lvlJc w:val="left"/>
      <w:pPr>
        <w:ind w:left="6169" w:hanging="360"/>
      </w:pPr>
      <w:rPr>
        <w:rFonts w:hint="default"/>
      </w:rPr>
    </w:lvl>
  </w:abstractNum>
  <w:abstractNum w:abstractNumId="4" w15:restartNumberingAfterBreak="0">
    <w:nsid w:val="4338764B"/>
    <w:multiLevelType w:val="hybridMultilevel"/>
    <w:tmpl w:val="E5A8E3A8"/>
    <w:lvl w:ilvl="0" w:tplc="51189E1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F080A08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4502D0A6">
      <w:numFmt w:val="bullet"/>
      <w:lvlText w:val="•"/>
      <w:lvlJc w:val="left"/>
      <w:pPr>
        <w:ind w:left="2124" w:hanging="361"/>
      </w:pPr>
      <w:rPr>
        <w:rFonts w:hint="default"/>
      </w:rPr>
    </w:lvl>
    <w:lvl w:ilvl="3" w:tplc="F948F1E8">
      <w:numFmt w:val="bullet"/>
      <w:lvlText w:val="•"/>
      <w:lvlJc w:val="left"/>
      <w:pPr>
        <w:ind w:left="2776" w:hanging="361"/>
      </w:pPr>
      <w:rPr>
        <w:rFonts w:hint="default"/>
      </w:rPr>
    </w:lvl>
    <w:lvl w:ilvl="4" w:tplc="136C829E">
      <w:numFmt w:val="bullet"/>
      <w:lvlText w:val="•"/>
      <w:lvlJc w:val="left"/>
      <w:pPr>
        <w:ind w:left="3429" w:hanging="361"/>
      </w:pPr>
      <w:rPr>
        <w:rFonts w:hint="default"/>
      </w:rPr>
    </w:lvl>
    <w:lvl w:ilvl="5" w:tplc="64884F32">
      <w:numFmt w:val="bullet"/>
      <w:lvlText w:val="•"/>
      <w:lvlJc w:val="left"/>
      <w:pPr>
        <w:ind w:left="4081" w:hanging="361"/>
      </w:pPr>
      <w:rPr>
        <w:rFonts w:hint="default"/>
      </w:rPr>
    </w:lvl>
    <w:lvl w:ilvl="6" w:tplc="A07C2E4E">
      <w:numFmt w:val="bullet"/>
      <w:lvlText w:val="•"/>
      <w:lvlJc w:val="left"/>
      <w:pPr>
        <w:ind w:left="4733" w:hanging="361"/>
      </w:pPr>
      <w:rPr>
        <w:rFonts w:hint="default"/>
      </w:rPr>
    </w:lvl>
    <w:lvl w:ilvl="7" w:tplc="D8D63A76">
      <w:numFmt w:val="bullet"/>
      <w:lvlText w:val="•"/>
      <w:lvlJc w:val="left"/>
      <w:pPr>
        <w:ind w:left="5386" w:hanging="361"/>
      </w:pPr>
      <w:rPr>
        <w:rFonts w:hint="default"/>
      </w:rPr>
    </w:lvl>
    <w:lvl w:ilvl="8" w:tplc="3516E716">
      <w:numFmt w:val="bullet"/>
      <w:lvlText w:val="•"/>
      <w:lvlJc w:val="left"/>
      <w:pPr>
        <w:ind w:left="6038" w:hanging="361"/>
      </w:pPr>
      <w:rPr>
        <w:rFonts w:hint="default"/>
      </w:rPr>
    </w:lvl>
  </w:abstractNum>
  <w:abstractNum w:abstractNumId="5" w15:restartNumberingAfterBreak="0">
    <w:nsid w:val="564F4D14"/>
    <w:multiLevelType w:val="hybridMultilevel"/>
    <w:tmpl w:val="61B25094"/>
    <w:lvl w:ilvl="0" w:tplc="D300430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9423164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557628DC">
      <w:numFmt w:val="bullet"/>
      <w:lvlText w:val="•"/>
      <w:lvlJc w:val="left"/>
      <w:pPr>
        <w:ind w:left="2124" w:hanging="361"/>
      </w:pPr>
      <w:rPr>
        <w:rFonts w:hint="default"/>
      </w:rPr>
    </w:lvl>
    <w:lvl w:ilvl="3" w:tplc="C77EE4FC">
      <w:numFmt w:val="bullet"/>
      <w:lvlText w:val="•"/>
      <w:lvlJc w:val="left"/>
      <w:pPr>
        <w:ind w:left="2776" w:hanging="361"/>
      </w:pPr>
      <w:rPr>
        <w:rFonts w:hint="default"/>
      </w:rPr>
    </w:lvl>
    <w:lvl w:ilvl="4" w:tplc="493037EE">
      <w:numFmt w:val="bullet"/>
      <w:lvlText w:val="•"/>
      <w:lvlJc w:val="left"/>
      <w:pPr>
        <w:ind w:left="3429" w:hanging="361"/>
      </w:pPr>
      <w:rPr>
        <w:rFonts w:hint="default"/>
      </w:rPr>
    </w:lvl>
    <w:lvl w:ilvl="5" w:tplc="15585094">
      <w:numFmt w:val="bullet"/>
      <w:lvlText w:val="•"/>
      <w:lvlJc w:val="left"/>
      <w:pPr>
        <w:ind w:left="4081" w:hanging="361"/>
      </w:pPr>
      <w:rPr>
        <w:rFonts w:hint="default"/>
      </w:rPr>
    </w:lvl>
    <w:lvl w:ilvl="6" w:tplc="A3A6924C">
      <w:numFmt w:val="bullet"/>
      <w:lvlText w:val="•"/>
      <w:lvlJc w:val="left"/>
      <w:pPr>
        <w:ind w:left="4733" w:hanging="361"/>
      </w:pPr>
      <w:rPr>
        <w:rFonts w:hint="default"/>
      </w:rPr>
    </w:lvl>
    <w:lvl w:ilvl="7" w:tplc="DD4C5512">
      <w:numFmt w:val="bullet"/>
      <w:lvlText w:val="•"/>
      <w:lvlJc w:val="left"/>
      <w:pPr>
        <w:ind w:left="5386" w:hanging="361"/>
      </w:pPr>
      <w:rPr>
        <w:rFonts w:hint="default"/>
      </w:rPr>
    </w:lvl>
    <w:lvl w:ilvl="8" w:tplc="E4C63354">
      <w:numFmt w:val="bullet"/>
      <w:lvlText w:val="•"/>
      <w:lvlJc w:val="left"/>
      <w:pPr>
        <w:ind w:left="6038" w:hanging="361"/>
      </w:pPr>
      <w:rPr>
        <w:rFonts w:hint="default"/>
      </w:rPr>
    </w:lvl>
  </w:abstractNum>
  <w:abstractNum w:abstractNumId="6" w15:restartNumberingAfterBreak="0">
    <w:nsid w:val="571A3CD1"/>
    <w:multiLevelType w:val="hybridMultilevel"/>
    <w:tmpl w:val="DB9808B4"/>
    <w:lvl w:ilvl="0" w:tplc="23781A5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876FD62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24DA1274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67D0FD3E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C25CD00A"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A0C66CDE"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1B54CABE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5B147D8E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1AD4B27A">
      <w:numFmt w:val="bullet"/>
      <w:lvlText w:val="•"/>
      <w:lvlJc w:val="left"/>
      <w:pPr>
        <w:ind w:left="6169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7"/>
    <w:rsid w:val="00512005"/>
    <w:rsid w:val="006373A7"/>
    <w:rsid w:val="008102A6"/>
    <w:rsid w:val="00AD76FE"/>
    <w:rsid w:val="00C3526B"/>
    <w:rsid w:val="00E43E2C"/>
    <w:rsid w:val="00EA1FB3"/>
    <w:rsid w:val="00ED05FF"/>
    <w:rsid w:val="00F56464"/>
    <w:rsid w:val="00F879A0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6B2B"/>
  <w15:docId w15:val="{44F27904-D5CA-43B1-8213-AE36AEB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Luanga, Mukela</dc:creator>
  <cp:lastModifiedBy>King'ori, Queen</cp:lastModifiedBy>
  <cp:revision>2</cp:revision>
  <dcterms:created xsi:type="dcterms:W3CDTF">2019-02-04T13:41:00Z</dcterms:created>
  <dcterms:modified xsi:type="dcterms:W3CDTF">2019-02-04T13:41:00Z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2019-01-25T00:00:00Z</vt:filetime>
  </property>
</Properties>
</file>