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26638" w14:textId="67E75D18" w:rsidR="00EB09B8" w:rsidRPr="00EB09B8" w:rsidRDefault="00EB09B8" w:rsidP="00EB09B8">
      <w:pPr>
        <w:jc w:val="center"/>
        <w:rPr>
          <w:rFonts w:ascii="Verdana" w:eastAsia="Calibri" w:hAnsi="Verdana" w:cs="Times New Roman"/>
          <w:b/>
          <w:bCs/>
          <w:sz w:val="18"/>
          <w:lang w:val="en-GB"/>
        </w:rPr>
      </w:pPr>
      <w:r w:rsidRPr="00EB09B8">
        <w:rPr>
          <w:rFonts w:ascii="Verdana" w:eastAsia="Calibri" w:hAnsi="Verdana" w:cs="Times New Roman"/>
          <w:b/>
          <w:bCs/>
          <w:sz w:val="18"/>
          <w:lang w:val="en-GB"/>
        </w:rPr>
        <w:t>Concept Note – Trade Remedies Workshop for GCC Member States</w:t>
      </w:r>
    </w:p>
    <w:p w14:paraId="4A882718" w14:textId="2759D000" w:rsidR="00EB09B8" w:rsidRPr="00EB09B8" w:rsidRDefault="003C1A1A" w:rsidP="00EB09B8">
      <w:pPr>
        <w:spacing w:after="0" w:line="240" w:lineRule="auto"/>
        <w:jc w:val="center"/>
        <w:rPr>
          <w:rFonts w:ascii="Verdana" w:eastAsia="Calibri" w:hAnsi="Verdana" w:cs="Times New Roman"/>
          <w:b/>
          <w:bCs/>
          <w:sz w:val="18"/>
          <w:lang w:val="en-GB"/>
        </w:rPr>
      </w:pPr>
      <w:r>
        <w:rPr>
          <w:rFonts w:ascii="Verdana" w:eastAsia="Calibri" w:hAnsi="Verdana" w:cs="Times New Roman"/>
          <w:b/>
          <w:bCs/>
          <w:sz w:val="18"/>
          <w:lang w:val="en-GB"/>
        </w:rPr>
        <w:t>[</w:t>
      </w:r>
      <w:r w:rsidR="00EB09B8" w:rsidRPr="00EB09B8">
        <w:rPr>
          <w:rFonts w:ascii="Verdana" w:eastAsia="Calibri" w:hAnsi="Verdana" w:cs="Times New Roman"/>
          <w:b/>
          <w:bCs/>
          <w:sz w:val="18"/>
          <w:lang w:val="en-GB"/>
        </w:rPr>
        <w:t>July 2024</w:t>
      </w:r>
      <w:r>
        <w:rPr>
          <w:rFonts w:ascii="Verdana" w:eastAsia="Calibri" w:hAnsi="Verdana" w:cs="Times New Roman"/>
          <w:b/>
          <w:bCs/>
          <w:sz w:val="18"/>
          <w:lang w:val="en-GB"/>
        </w:rPr>
        <w:t>]</w:t>
      </w:r>
    </w:p>
    <w:p w14:paraId="645098C3" w14:textId="77777777" w:rsidR="00EB09B8" w:rsidRPr="00EB09B8" w:rsidRDefault="00EB09B8" w:rsidP="00EB09B8">
      <w:pPr>
        <w:spacing w:after="0" w:line="240" w:lineRule="auto"/>
        <w:jc w:val="center"/>
        <w:rPr>
          <w:rFonts w:ascii="Verdana" w:eastAsia="Calibri" w:hAnsi="Verdana" w:cs="Times New Roman"/>
          <w:b/>
          <w:bCs/>
          <w:sz w:val="18"/>
          <w:lang w:val="en-GB"/>
        </w:rPr>
      </w:pPr>
    </w:p>
    <w:p w14:paraId="030150E7" w14:textId="77777777" w:rsidR="00EB09B8" w:rsidRPr="00EB09B8" w:rsidRDefault="00EB09B8" w:rsidP="00EB09B8">
      <w:pPr>
        <w:spacing w:after="0" w:line="240" w:lineRule="auto"/>
        <w:jc w:val="both"/>
        <w:rPr>
          <w:rFonts w:ascii="Verdana" w:eastAsia="Calibri" w:hAnsi="Verdana" w:cs="Times New Roman"/>
          <w:b/>
          <w:bCs/>
          <w:sz w:val="18"/>
          <w:lang w:val="en-GB"/>
        </w:rPr>
      </w:pPr>
      <w:r w:rsidRPr="00EB09B8">
        <w:rPr>
          <w:rFonts w:ascii="Verdana" w:eastAsia="Calibri" w:hAnsi="Verdana" w:cs="Times New Roman"/>
          <w:b/>
          <w:bCs/>
          <w:sz w:val="18"/>
          <w:lang w:val="en-GB"/>
        </w:rPr>
        <w:t>Purpose of the Activity</w:t>
      </w:r>
    </w:p>
    <w:p w14:paraId="64895C26" w14:textId="77777777" w:rsidR="00EB09B8" w:rsidRPr="00EB09B8" w:rsidRDefault="00EB09B8" w:rsidP="00EB09B8">
      <w:pPr>
        <w:spacing w:after="0" w:line="240" w:lineRule="auto"/>
        <w:jc w:val="both"/>
        <w:rPr>
          <w:rFonts w:ascii="Verdana" w:eastAsia="Calibri" w:hAnsi="Verdana" w:cs="Times New Roman"/>
          <w:b/>
          <w:bCs/>
          <w:sz w:val="18"/>
          <w:lang w:val="en-GB"/>
        </w:rPr>
      </w:pPr>
    </w:p>
    <w:p w14:paraId="04A0FA6C" w14:textId="77777777" w:rsidR="00EB09B8" w:rsidRPr="00EB09B8" w:rsidRDefault="00EB09B8" w:rsidP="00EB09B8">
      <w:pPr>
        <w:spacing w:after="0" w:line="240" w:lineRule="auto"/>
        <w:jc w:val="both"/>
        <w:rPr>
          <w:rFonts w:ascii="Verdana" w:eastAsia="Calibri" w:hAnsi="Verdana" w:cs="Times New Roman"/>
          <w:sz w:val="18"/>
          <w:lang w:val="en-GB"/>
        </w:rPr>
      </w:pPr>
      <w:r w:rsidRPr="00EB09B8">
        <w:rPr>
          <w:rFonts w:ascii="Verdana" w:eastAsia="Calibri" w:hAnsi="Verdana" w:cs="Times New Roman"/>
          <w:sz w:val="18"/>
          <w:lang w:val="en-GB"/>
        </w:rPr>
        <w:t>The primary aim of this technical assistance (TA) project is to enhance the capacity of government officials from the Gulf Cooperation Council (GCC) member states in the domain of trade remedies, specifically focusing on anti-dumping, safeguards, and countervailing duty measures. This initiative comes in response to the request submitted by Qatar, acting as the coordinator for the GCC countries for the year 2024. The program is designed to provide an introductory workshop that aligns with the new legislation on trade remedies across GCC countries, aimed at deepening the knowledge and operational capabilities of officials responsible for the implementation of this legislation.</w:t>
      </w:r>
    </w:p>
    <w:p w14:paraId="2EB3B8D5" w14:textId="77777777" w:rsidR="00EB09B8" w:rsidRPr="00EB09B8" w:rsidRDefault="00EB09B8" w:rsidP="00EB09B8">
      <w:pPr>
        <w:spacing w:after="0" w:line="240" w:lineRule="auto"/>
        <w:jc w:val="both"/>
        <w:rPr>
          <w:rFonts w:ascii="Verdana" w:eastAsia="Calibri" w:hAnsi="Verdana" w:cs="Times New Roman"/>
          <w:sz w:val="18"/>
          <w:lang w:val="en-GB"/>
        </w:rPr>
      </w:pPr>
    </w:p>
    <w:p w14:paraId="3FC694AD" w14:textId="77777777" w:rsidR="00EB09B8" w:rsidRPr="00EB09B8" w:rsidRDefault="00EB09B8" w:rsidP="00EB09B8">
      <w:pPr>
        <w:spacing w:after="0" w:line="240" w:lineRule="auto"/>
        <w:jc w:val="both"/>
        <w:rPr>
          <w:rFonts w:ascii="Verdana" w:eastAsia="Calibri" w:hAnsi="Verdana" w:cs="Times New Roman"/>
          <w:b/>
          <w:bCs/>
          <w:sz w:val="18"/>
          <w:lang w:val="en-GB"/>
        </w:rPr>
      </w:pPr>
      <w:r w:rsidRPr="00EB09B8">
        <w:rPr>
          <w:rFonts w:ascii="Verdana" w:eastAsia="Calibri" w:hAnsi="Verdana" w:cs="Times New Roman"/>
          <w:b/>
          <w:bCs/>
          <w:sz w:val="18"/>
          <w:lang w:val="en-GB"/>
        </w:rPr>
        <w:t>Topics to be Covered</w:t>
      </w:r>
    </w:p>
    <w:p w14:paraId="40428DC2" w14:textId="77777777" w:rsidR="00EB09B8" w:rsidRPr="00EB09B8" w:rsidRDefault="00EB09B8" w:rsidP="00EB09B8">
      <w:pPr>
        <w:numPr>
          <w:ilvl w:val="0"/>
          <w:numId w:val="47"/>
        </w:numPr>
        <w:spacing w:after="0" w:line="240" w:lineRule="auto"/>
        <w:jc w:val="both"/>
        <w:rPr>
          <w:rFonts w:ascii="Verdana" w:eastAsia="Calibri" w:hAnsi="Verdana" w:cs="Times New Roman"/>
          <w:sz w:val="18"/>
          <w:lang w:val="en-GB"/>
        </w:rPr>
      </w:pPr>
      <w:r w:rsidRPr="00EB09B8">
        <w:rPr>
          <w:rFonts w:ascii="Verdana" w:eastAsia="Calibri" w:hAnsi="Verdana" w:cs="Times New Roman"/>
          <w:b/>
          <w:bCs/>
          <w:sz w:val="18"/>
          <w:lang w:val="en-GB"/>
        </w:rPr>
        <w:t>Day 1 to 3: Comprehensive Overview</w:t>
      </w:r>
    </w:p>
    <w:p w14:paraId="54452E4E" w14:textId="77777777" w:rsidR="00EB09B8" w:rsidRPr="00EB09B8" w:rsidRDefault="00EB09B8" w:rsidP="00EB09B8">
      <w:pPr>
        <w:numPr>
          <w:ilvl w:val="1"/>
          <w:numId w:val="47"/>
        </w:numPr>
        <w:spacing w:after="0" w:line="240" w:lineRule="auto"/>
        <w:jc w:val="both"/>
        <w:rPr>
          <w:rFonts w:ascii="Verdana" w:eastAsia="Calibri" w:hAnsi="Verdana" w:cs="Times New Roman"/>
          <w:sz w:val="18"/>
          <w:lang w:val="en-GB"/>
        </w:rPr>
      </w:pPr>
      <w:r w:rsidRPr="00EB09B8">
        <w:rPr>
          <w:rFonts w:ascii="Verdana" w:eastAsia="Calibri" w:hAnsi="Verdana" w:cs="Times New Roman"/>
          <w:sz w:val="18"/>
          <w:lang w:val="en-GB"/>
        </w:rPr>
        <w:t>Introduction to Trade Remedies</w:t>
      </w:r>
    </w:p>
    <w:p w14:paraId="7D0E5693" w14:textId="77777777" w:rsidR="00EB09B8" w:rsidRPr="00EB09B8" w:rsidRDefault="00EB09B8" w:rsidP="00EB09B8">
      <w:pPr>
        <w:numPr>
          <w:ilvl w:val="1"/>
          <w:numId w:val="47"/>
        </w:numPr>
        <w:spacing w:after="0" w:line="240" w:lineRule="auto"/>
        <w:jc w:val="both"/>
        <w:rPr>
          <w:rFonts w:ascii="Verdana" w:eastAsia="Calibri" w:hAnsi="Verdana" w:cs="Times New Roman"/>
          <w:sz w:val="18"/>
          <w:lang w:val="en-GB"/>
        </w:rPr>
      </w:pPr>
      <w:r w:rsidRPr="00EB09B8">
        <w:rPr>
          <w:rFonts w:ascii="Verdana" w:eastAsia="Calibri" w:hAnsi="Verdana" w:cs="Times New Roman"/>
          <w:sz w:val="18"/>
          <w:lang w:val="en-GB"/>
        </w:rPr>
        <w:t>Safeguard Measures</w:t>
      </w:r>
    </w:p>
    <w:p w14:paraId="2A1C495A" w14:textId="77777777" w:rsidR="00EB09B8" w:rsidRPr="00EB09B8" w:rsidRDefault="00EB09B8" w:rsidP="00EB09B8">
      <w:pPr>
        <w:numPr>
          <w:ilvl w:val="1"/>
          <w:numId w:val="47"/>
        </w:numPr>
        <w:spacing w:after="0" w:line="240" w:lineRule="auto"/>
        <w:jc w:val="both"/>
        <w:rPr>
          <w:rFonts w:ascii="Verdana" w:eastAsia="Calibri" w:hAnsi="Verdana" w:cs="Times New Roman"/>
          <w:sz w:val="18"/>
          <w:lang w:val="en-GB"/>
        </w:rPr>
      </w:pPr>
      <w:r w:rsidRPr="00EB09B8">
        <w:rPr>
          <w:rFonts w:ascii="Verdana" w:eastAsia="Calibri" w:hAnsi="Verdana" w:cs="Times New Roman"/>
          <w:sz w:val="18"/>
          <w:lang w:val="en-GB"/>
        </w:rPr>
        <w:t>Anti-Dumping Measures</w:t>
      </w:r>
    </w:p>
    <w:p w14:paraId="1A36D697" w14:textId="77777777" w:rsidR="00EB09B8" w:rsidRPr="00EB09B8" w:rsidRDefault="00EB09B8" w:rsidP="00EB09B8">
      <w:pPr>
        <w:numPr>
          <w:ilvl w:val="1"/>
          <w:numId w:val="47"/>
        </w:numPr>
        <w:spacing w:after="0" w:line="240" w:lineRule="auto"/>
        <w:jc w:val="both"/>
        <w:rPr>
          <w:rFonts w:ascii="Verdana" w:eastAsia="Calibri" w:hAnsi="Verdana" w:cs="Times New Roman"/>
          <w:sz w:val="18"/>
          <w:lang w:val="en-GB"/>
        </w:rPr>
      </w:pPr>
      <w:r w:rsidRPr="00EB09B8">
        <w:rPr>
          <w:rFonts w:ascii="Verdana" w:eastAsia="Calibri" w:hAnsi="Verdana" w:cs="Times New Roman"/>
          <w:sz w:val="18"/>
          <w:lang w:val="en-GB"/>
        </w:rPr>
        <w:t>Subsidies and Countervailing Measures</w:t>
      </w:r>
    </w:p>
    <w:p w14:paraId="44D330FA" w14:textId="77777777" w:rsidR="00EB09B8" w:rsidRPr="00EB09B8" w:rsidRDefault="00EB09B8" w:rsidP="00EB09B8">
      <w:pPr>
        <w:numPr>
          <w:ilvl w:val="0"/>
          <w:numId w:val="47"/>
        </w:numPr>
        <w:spacing w:after="0" w:line="240" w:lineRule="auto"/>
        <w:jc w:val="both"/>
        <w:rPr>
          <w:rFonts w:ascii="Verdana" w:eastAsia="Calibri" w:hAnsi="Verdana" w:cs="Times New Roman"/>
          <w:sz w:val="18"/>
          <w:lang w:val="en-GB"/>
        </w:rPr>
      </w:pPr>
      <w:r w:rsidRPr="00EB09B8">
        <w:rPr>
          <w:rFonts w:ascii="Verdana" w:eastAsia="Calibri" w:hAnsi="Verdana" w:cs="Times New Roman"/>
          <w:b/>
          <w:bCs/>
          <w:sz w:val="18"/>
          <w:lang w:val="en-GB"/>
        </w:rPr>
        <w:t>Day 4 (Half-Day): Advanced Technical Work</w:t>
      </w:r>
    </w:p>
    <w:p w14:paraId="750AC3A7" w14:textId="77777777" w:rsidR="00EB09B8" w:rsidRPr="00EB09B8" w:rsidRDefault="00EB09B8" w:rsidP="00EB09B8">
      <w:pPr>
        <w:numPr>
          <w:ilvl w:val="1"/>
          <w:numId w:val="47"/>
        </w:numPr>
        <w:spacing w:after="0" w:line="240" w:lineRule="auto"/>
        <w:jc w:val="both"/>
        <w:rPr>
          <w:rFonts w:ascii="Verdana" w:eastAsia="Calibri" w:hAnsi="Verdana" w:cs="Times New Roman"/>
          <w:sz w:val="18"/>
          <w:lang w:val="en-GB"/>
        </w:rPr>
      </w:pPr>
      <w:r w:rsidRPr="00EB09B8">
        <w:rPr>
          <w:rFonts w:ascii="Verdana" w:eastAsia="Calibri" w:hAnsi="Verdana" w:cs="Times New Roman"/>
          <w:sz w:val="18"/>
          <w:lang w:val="en-GB"/>
        </w:rPr>
        <w:t>Computer-Based Simulation Exercises on Anti-Dumping</w:t>
      </w:r>
    </w:p>
    <w:p w14:paraId="3900DFE5" w14:textId="77777777" w:rsidR="00EB09B8" w:rsidRPr="00EB09B8" w:rsidRDefault="00EB09B8" w:rsidP="00EB09B8">
      <w:pPr>
        <w:numPr>
          <w:ilvl w:val="1"/>
          <w:numId w:val="47"/>
        </w:numPr>
        <w:spacing w:after="0" w:line="240" w:lineRule="auto"/>
        <w:jc w:val="both"/>
        <w:rPr>
          <w:rFonts w:ascii="Verdana" w:eastAsia="Calibri" w:hAnsi="Verdana" w:cs="Times New Roman"/>
          <w:sz w:val="18"/>
          <w:lang w:val="en-GB"/>
        </w:rPr>
      </w:pPr>
      <w:r w:rsidRPr="00EB09B8">
        <w:rPr>
          <w:rFonts w:ascii="Verdana" w:eastAsia="Calibri" w:hAnsi="Verdana" w:cs="Times New Roman"/>
          <w:sz w:val="18"/>
          <w:lang w:val="en-GB"/>
        </w:rPr>
        <w:t>Q&amp;A Session for Detailed Clarifications</w:t>
      </w:r>
    </w:p>
    <w:p w14:paraId="719A2257" w14:textId="77777777" w:rsidR="00EB09B8" w:rsidRPr="00EB09B8" w:rsidRDefault="00EB09B8" w:rsidP="00EB09B8">
      <w:pPr>
        <w:spacing w:after="0" w:line="240" w:lineRule="auto"/>
        <w:ind w:left="1440"/>
        <w:jc w:val="both"/>
        <w:rPr>
          <w:rFonts w:ascii="Verdana" w:eastAsia="Calibri" w:hAnsi="Verdana" w:cs="Times New Roman"/>
          <w:sz w:val="18"/>
          <w:lang w:val="en-GB"/>
        </w:rPr>
      </w:pPr>
    </w:p>
    <w:p w14:paraId="41244EC1" w14:textId="77777777" w:rsidR="00EB09B8" w:rsidRPr="00EB09B8" w:rsidRDefault="00EB09B8" w:rsidP="00EB09B8">
      <w:pPr>
        <w:spacing w:after="0" w:line="240" w:lineRule="auto"/>
        <w:jc w:val="both"/>
        <w:rPr>
          <w:rFonts w:ascii="Verdana" w:eastAsia="Calibri" w:hAnsi="Verdana" w:cs="Times New Roman"/>
          <w:b/>
          <w:bCs/>
          <w:sz w:val="18"/>
          <w:lang w:val="en-GB"/>
        </w:rPr>
      </w:pPr>
      <w:r w:rsidRPr="00EB09B8">
        <w:rPr>
          <w:rFonts w:ascii="Verdana" w:eastAsia="Calibri" w:hAnsi="Verdana" w:cs="Times New Roman"/>
          <w:b/>
          <w:bCs/>
          <w:sz w:val="18"/>
          <w:lang w:val="en-GB"/>
        </w:rPr>
        <w:t>Duration of the Program</w:t>
      </w:r>
    </w:p>
    <w:p w14:paraId="28EE125D" w14:textId="77777777" w:rsidR="00EB09B8" w:rsidRPr="00EB09B8" w:rsidRDefault="00EB09B8" w:rsidP="00EB09B8">
      <w:pPr>
        <w:spacing w:after="0" w:line="240" w:lineRule="auto"/>
        <w:jc w:val="both"/>
        <w:rPr>
          <w:rFonts w:ascii="Verdana" w:eastAsia="Calibri" w:hAnsi="Verdana" w:cs="Times New Roman"/>
          <w:b/>
          <w:bCs/>
          <w:sz w:val="18"/>
          <w:lang w:val="en-GB"/>
        </w:rPr>
      </w:pPr>
    </w:p>
    <w:p w14:paraId="504341DE" w14:textId="77777777" w:rsidR="00EB09B8" w:rsidRPr="00EB09B8" w:rsidRDefault="00EB09B8" w:rsidP="00EB09B8">
      <w:pPr>
        <w:spacing w:after="0" w:line="240" w:lineRule="auto"/>
        <w:jc w:val="both"/>
        <w:rPr>
          <w:rFonts w:ascii="Verdana" w:eastAsia="Calibri" w:hAnsi="Verdana" w:cs="Times New Roman"/>
          <w:sz w:val="18"/>
          <w:lang w:val="en-GB"/>
        </w:rPr>
      </w:pPr>
      <w:r w:rsidRPr="00EB09B8">
        <w:rPr>
          <w:rFonts w:ascii="Verdana" w:eastAsia="Calibri" w:hAnsi="Verdana" w:cs="Times New Roman"/>
          <w:sz w:val="18"/>
          <w:lang w:val="en-GB"/>
        </w:rPr>
        <w:t>The program is scheduled for a duration of 3.5 days, ensuring a balance between theoretical knowledge and practical exercises.</w:t>
      </w:r>
    </w:p>
    <w:p w14:paraId="3F42B173" w14:textId="77777777" w:rsidR="00EB09B8" w:rsidRPr="00EB09B8" w:rsidRDefault="00EB09B8" w:rsidP="00EB09B8">
      <w:pPr>
        <w:spacing w:after="0" w:line="240" w:lineRule="auto"/>
        <w:jc w:val="both"/>
        <w:rPr>
          <w:rFonts w:ascii="Verdana" w:eastAsia="Calibri" w:hAnsi="Verdana" w:cs="Times New Roman"/>
          <w:sz w:val="18"/>
          <w:lang w:val="en-GB"/>
        </w:rPr>
      </w:pPr>
    </w:p>
    <w:p w14:paraId="7C9E4D69" w14:textId="77777777" w:rsidR="00EB09B8" w:rsidRPr="00EB09B8" w:rsidRDefault="00EB09B8" w:rsidP="00EB09B8">
      <w:pPr>
        <w:spacing w:after="0" w:line="240" w:lineRule="auto"/>
        <w:jc w:val="both"/>
        <w:rPr>
          <w:rFonts w:ascii="Verdana" w:eastAsia="Calibri" w:hAnsi="Verdana" w:cs="Times New Roman"/>
          <w:b/>
          <w:bCs/>
          <w:sz w:val="18"/>
          <w:lang w:val="en-GB"/>
        </w:rPr>
      </w:pPr>
      <w:r w:rsidRPr="00EB09B8">
        <w:rPr>
          <w:rFonts w:ascii="Verdana" w:eastAsia="Calibri" w:hAnsi="Verdana" w:cs="Times New Roman"/>
          <w:b/>
          <w:bCs/>
          <w:sz w:val="18"/>
          <w:lang w:val="en-GB"/>
        </w:rPr>
        <w:t>Target Audience</w:t>
      </w:r>
    </w:p>
    <w:p w14:paraId="600C9DAB" w14:textId="77777777" w:rsidR="00EB09B8" w:rsidRPr="00EB09B8" w:rsidRDefault="00EB09B8" w:rsidP="00EB09B8">
      <w:pPr>
        <w:spacing w:after="0" w:line="240" w:lineRule="auto"/>
        <w:jc w:val="both"/>
        <w:rPr>
          <w:rFonts w:ascii="Verdana" w:eastAsia="Calibri" w:hAnsi="Verdana" w:cs="Times New Roman"/>
          <w:b/>
          <w:bCs/>
          <w:sz w:val="18"/>
          <w:lang w:val="en-GB"/>
        </w:rPr>
      </w:pPr>
    </w:p>
    <w:p w14:paraId="5F0991F2" w14:textId="77777777" w:rsidR="00EB09B8" w:rsidRPr="00EB09B8" w:rsidRDefault="00EB09B8" w:rsidP="00EB09B8">
      <w:pPr>
        <w:spacing w:after="0" w:line="240" w:lineRule="auto"/>
        <w:jc w:val="both"/>
        <w:rPr>
          <w:rFonts w:ascii="Verdana" w:eastAsia="Calibri" w:hAnsi="Verdana" w:cs="Times New Roman"/>
          <w:sz w:val="18"/>
          <w:lang w:val="en-GB"/>
        </w:rPr>
      </w:pPr>
      <w:r w:rsidRPr="00EB09B8">
        <w:rPr>
          <w:rFonts w:ascii="Verdana" w:eastAsia="Calibri" w:hAnsi="Verdana" w:cs="Times New Roman"/>
          <w:sz w:val="18"/>
          <w:lang w:val="en-GB"/>
        </w:rPr>
        <w:t>The primary audience for this program includes government officials from the GCC Secretariat and various ministries of the GCC member states. Given the varied proficiency levels among participants, the program is tailored for generalists rather than specialists, with a focus on providing a foundational understanding of trade remedies and their practical application.</w:t>
      </w:r>
    </w:p>
    <w:p w14:paraId="0D30CF2D" w14:textId="77777777" w:rsidR="00EB09B8" w:rsidRPr="00EB09B8" w:rsidRDefault="00EB09B8" w:rsidP="00EB09B8">
      <w:pPr>
        <w:spacing w:after="0" w:line="240" w:lineRule="auto"/>
        <w:jc w:val="both"/>
        <w:rPr>
          <w:rFonts w:ascii="Verdana" w:eastAsia="Calibri" w:hAnsi="Verdana" w:cs="Times New Roman"/>
          <w:sz w:val="18"/>
          <w:lang w:val="en-GB"/>
        </w:rPr>
      </w:pPr>
    </w:p>
    <w:p w14:paraId="2488B828" w14:textId="77777777" w:rsidR="00EB09B8" w:rsidRPr="00EB09B8" w:rsidRDefault="00EB09B8" w:rsidP="00EB09B8">
      <w:pPr>
        <w:spacing w:after="0" w:line="240" w:lineRule="auto"/>
        <w:jc w:val="both"/>
        <w:rPr>
          <w:rFonts w:ascii="Verdana" w:eastAsia="Calibri" w:hAnsi="Verdana" w:cs="Times New Roman"/>
          <w:b/>
          <w:bCs/>
          <w:sz w:val="18"/>
          <w:lang w:val="en-GB"/>
        </w:rPr>
      </w:pPr>
      <w:r w:rsidRPr="00EB09B8">
        <w:rPr>
          <w:rFonts w:ascii="Verdana" w:eastAsia="Calibri" w:hAnsi="Verdana" w:cs="Times New Roman"/>
          <w:b/>
          <w:bCs/>
          <w:sz w:val="18"/>
          <w:lang w:val="en-GB"/>
        </w:rPr>
        <w:t>Level of Complexity</w:t>
      </w:r>
    </w:p>
    <w:p w14:paraId="2C0DA2F6" w14:textId="77777777" w:rsidR="00EB09B8" w:rsidRPr="00EB09B8" w:rsidRDefault="00EB09B8" w:rsidP="00EB09B8">
      <w:pPr>
        <w:spacing w:after="0" w:line="240" w:lineRule="auto"/>
        <w:jc w:val="both"/>
        <w:rPr>
          <w:rFonts w:ascii="Verdana" w:eastAsia="Calibri" w:hAnsi="Verdana" w:cs="Times New Roman"/>
          <w:b/>
          <w:bCs/>
          <w:sz w:val="18"/>
          <w:lang w:val="en-GB"/>
        </w:rPr>
      </w:pPr>
    </w:p>
    <w:p w14:paraId="22317556" w14:textId="77777777" w:rsidR="00EB09B8" w:rsidRPr="00EB09B8" w:rsidRDefault="00EB09B8" w:rsidP="00EB09B8">
      <w:pPr>
        <w:spacing w:after="0" w:line="240" w:lineRule="auto"/>
        <w:jc w:val="both"/>
        <w:rPr>
          <w:rFonts w:ascii="Verdana" w:eastAsia="Calibri" w:hAnsi="Verdana" w:cs="Times New Roman"/>
          <w:sz w:val="18"/>
          <w:lang w:val="en-GB"/>
        </w:rPr>
      </w:pPr>
      <w:r w:rsidRPr="00EB09B8">
        <w:rPr>
          <w:rFonts w:ascii="Verdana" w:eastAsia="Calibri" w:hAnsi="Verdana" w:cs="Times New Roman"/>
          <w:sz w:val="18"/>
          <w:lang w:val="en-GB"/>
        </w:rPr>
        <w:t>The program is designed to cater to a generalist audience, ensuring that the content is accessible to individuals with limited prior exposure to trade remedies while still being robust enough to offer valuable insights to more experienced participants. The inclusion of case studies, exercises, and computer-based simulations is intended to facilitate practical learning and application.</w:t>
      </w:r>
    </w:p>
    <w:p w14:paraId="5520FFA1" w14:textId="3CDA4572" w:rsidR="002A525C" w:rsidRDefault="002A525C">
      <w:pPr>
        <w:rPr>
          <w:rFonts w:eastAsia="Malgun Gothic" w:cstheme="minorHAnsi"/>
          <w:b/>
          <w:smallCaps/>
          <w:kern w:val="2"/>
          <w:sz w:val="28"/>
          <w:szCs w:val="28"/>
          <w:u w:val="single"/>
          <w:lang w:eastAsia="ko-KR"/>
        </w:rPr>
      </w:pPr>
      <w:r>
        <w:rPr>
          <w:rFonts w:eastAsia="Malgun Gothic" w:cstheme="minorHAnsi"/>
          <w:b/>
          <w:smallCaps/>
          <w:kern w:val="2"/>
          <w:sz w:val="28"/>
          <w:szCs w:val="28"/>
          <w:u w:val="single"/>
          <w:lang w:eastAsia="ko-KR"/>
        </w:rPr>
        <w:br w:type="page"/>
      </w:r>
    </w:p>
    <w:p w14:paraId="1AFA894D" w14:textId="6DA103F0" w:rsidR="009D1CB6" w:rsidRDefault="00F53648" w:rsidP="001447F5">
      <w:pPr>
        <w:widowControl w:val="0"/>
        <w:wordWrap w:val="0"/>
        <w:autoSpaceDE w:val="0"/>
        <w:autoSpaceDN w:val="0"/>
        <w:spacing w:after="0" w:line="240" w:lineRule="auto"/>
        <w:jc w:val="center"/>
        <w:rPr>
          <w:rFonts w:eastAsia="Malgun Gothic" w:cstheme="minorHAnsi"/>
          <w:b/>
          <w:smallCaps/>
          <w:kern w:val="2"/>
          <w:sz w:val="28"/>
          <w:szCs w:val="28"/>
          <w:u w:val="single"/>
          <w:lang w:val="en-US" w:eastAsia="ko-KR"/>
        </w:rPr>
      </w:pPr>
      <w:r>
        <w:rPr>
          <w:rFonts w:eastAsia="Malgun Gothic" w:cstheme="minorHAnsi"/>
          <w:b/>
          <w:smallCaps/>
          <w:kern w:val="2"/>
          <w:sz w:val="28"/>
          <w:szCs w:val="28"/>
          <w:u w:val="single"/>
          <w:lang w:val="en-US" w:eastAsia="ko-KR"/>
        </w:rPr>
        <w:lastRenderedPageBreak/>
        <w:t>GCC MEMBER STATES</w:t>
      </w:r>
      <w:r w:rsidR="009D1CB6">
        <w:rPr>
          <w:rFonts w:eastAsia="Malgun Gothic" w:cstheme="minorHAnsi"/>
          <w:b/>
          <w:smallCaps/>
          <w:kern w:val="2"/>
          <w:sz w:val="28"/>
          <w:szCs w:val="28"/>
          <w:u w:val="single"/>
          <w:lang w:val="en-US" w:eastAsia="ko-KR"/>
        </w:rPr>
        <w:t xml:space="preserve"> TRAINING PROGRAMME ON </w:t>
      </w:r>
    </w:p>
    <w:p w14:paraId="6A597D92" w14:textId="7537F966" w:rsidR="001447F5" w:rsidRDefault="009D1CB6" w:rsidP="001447F5">
      <w:pPr>
        <w:widowControl w:val="0"/>
        <w:wordWrap w:val="0"/>
        <w:autoSpaceDE w:val="0"/>
        <w:autoSpaceDN w:val="0"/>
        <w:spacing w:after="0" w:line="240" w:lineRule="auto"/>
        <w:jc w:val="center"/>
        <w:rPr>
          <w:rFonts w:eastAsia="Malgun Gothic" w:cstheme="minorHAnsi"/>
          <w:b/>
          <w:smallCaps/>
          <w:kern w:val="2"/>
          <w:sz w:val="28"/>
          <w:szCs w:val="28"/>
          <w:u w:val="single"/>
          <w:lang w:val="en-US" w:eastAsia="ko-KR"/>
        </w:rPr>
      </w:pPr>
      <w:r>
        <w:rPr>
          <w:rFonts w:eastAsia="Malgun Gothic" w:cstheme="minorHAnsi"/>
          <w:b/>
          <w:smallCaps/>
          <w:kern w:val="2"/>
          <w:sz w:val="28"/>
          <w:szCs w:val="28"/>
          <w:u w:val="single"/>
          <w:lang w:val="en-US" w:eastAsia="ko-KR"/>
        </w:rPr>
        <w:t xml:space="preserve">TRADE REMEDIES </w:t>
      </w:r>
      <w:r w:rsidR="00B26A4D">
        <w:rPr>
          <w:rFonts w:eastAsia="Malgun Gothic" w:cstheme="minorHAnsi"/>
          <w:b/>
          <w:smallCaps/>
          <w:kern w:val="2"/>
          <w:sz w:val="28"/>
          <w:szCs w:val="28"/>
          <w:u w:val="single"/>
          <w:lang w:val="en-US" w:eastAsia="ko-KR"/>
        </w:rPr>
        <w:t>- DRAFT</w:t>
      </w:r>
    </w:p>
    <w:p w14:paraId="61855941" w14:textId="4EA232E3" w:rsidR="009D1CB6" w:rsidRPr="009D1CB6" w:rsidRDefault="00B26A4D" w:rsidP="001447F5">
      <w:pPr>
        <w:widowControl w:val="0"/>
        <w:wordWrap w:val="0"/>
        <w:autoSpaceDE w:val="0"/>
        <w:autoSpaceDN w:val="0"/>
        <w:spacing w:after="0" w:line="240" w:lineRule="auto"/>
        <w:jc w:val="center"/>
        <w:rPr>
          <w:rFonts w:eastAsia="Malgun Gothic" w:cstheme="minorHAnsi"/>
          <w:bCs/>
          <w:smallCaps/>
          <w:kern w:val="2"/>
          <w:sz w:val="28"/>
          <w:szCs w:val="28"/>
          <w:lang w:val="en-US" w:eastAsia="ko-KR"/>
        </w:rPr>
      </w:pPr>
      <w:r>
        <w:rPr>
          <w:rFonts w:eastAsia="Malgun Gothic" w:cstheme="minorHAnsi"/>
          <w:bCs/>
          <w:smallCaps/>
          <w:kern w:val="2"/>
          <w:sz w:val="28"/>
          <w:szCs w:val="28"/>
          <w:lang w:val="en-US" w:eastAsia="ko-KR"/>
        </w:rPr>
        <w:t>[</w:t>
      </w:r>
      <w:r w:rsidR="00F53648">
        <w:rPr>
          <w:rFonts w:eastAsia="Malgun Gothic" w:cstheme="minorHAnsi"/>
          <w:bCs/>
          <w:smallCaps/>
          <w:kern w:val="2"/>
          <w:sz w:val="28"/>
          <w:szCs w:val="28"/>
          <w:lang w:val="en-US" w:eastAsia="ko-KR"/>
        </w:rPr>
        <w:t>July 2024</w:t>
      </w:r>
      <w:r>
        <w:rPr>
          <w:rFonts w:eastAsia="Malgun Gothic" w:cstheme="minorHAnsi"/>
          <w:bCs/>
          <w:smallCaps/>
          <w:kern w:val="2"/>
          <w:sz w:val="28"/>
          <w:szCs w:val="28"/>
          <w:lang w:val="en-US" w:eastAsia="ko-KR"/>
        </w:rPr>
        <w:t>]</w:t>
      </w:r>
    </w:p>
    <w:p w14:paraId="55D892C7" w14:textId="77777777" w:rsidR="00432682" w:rsidRPr="008D5211" w:rsidRDefault="00432682" w:rsidP="002271AE">
      <w:pPr>
        <w:widowControl w:val="0"/>
        <w:wordWrap w:val="0"/>
        <w:autoSpaceDE w:val="0"/>
        <w:autoSpaceDN w:val="0"/>
        <w:spacing w:after="0" w:line="240" w:lineRule="auto"/>
        <w:rPr>
          <w:rFonts w:eastAsia="Malgun Gothic" w:cstheme="minorHAnsi"/>
          <w:b/>
          <w:smallCaps/>
          <w:kern w:val="2"/>
          <w:lang w:val="en-US" w:eastAsia="ko-KR"/>
        </w:rPr>
      </w:pPr>
    </w:p>
    <w:tbl>
      <w:tblPr>
        <w:tblStyle w:val="TableGrid"/>
        <w:tblW w:w="9498" w:type="dxa"/>
        <w:tblInd w:w="-289" w:type="dxa"/>
        <w:tblLook w:val="04A0" w:firstRow="1" w:lastRow="0" w:firstColumn="1" w:lastColumn="0" w:noHBand="0" w:noVBand="1"/>
      </w:tblPr>
      <w:tblGrid>
        <w:gridCol w:w="1560"/>
        <w:gridCol w:w="5103"/>
        <w:gridCol w:w="2835"/>
      </w:tblGrid>
      <w:tr w:rsidR="000B478D" w:rsidRPr="002271AE" w14:paraId="43920FFA" w14:textId="77777777" w:rsidTr="00A840B7">
        <w:tc>
          <w:tcPr>
            <w:tcW w:w="1560" w:type="dxa"/>
            <w:shd w:val="clear" w:color="auto" w:fill="2F5496" w:themeFill="accent1" w:themeFillShade="BF"/>
          </w:tcPr>
          <w:p w14:paraId="26006D2E" w14:textId="2E2C12BD" w:rsidR="007B052E" w:rsidRPr="002271AE" w:rsidRDefault="009D1CB6">
            <w:pPr>
              <w:rPr>
                <w:rFonts w:cstheme="minorHAnsi"/>
                <w:b/>
                <w:color w:val="FFFFFF" w:themeColor="background1"/>
                <w:sz w:val="24"/>
                <w:szCs w:val="24"/>
              </w:rPr>
            </w:pPr>
            <w:r w:rsidRPr="002271AE">
              <w:rPr>
                <w:rFonts w:cstheme="minorHAnsi"/>
                <w:b/>
                <w:color w:val="FFFFFF" w:themeColor="background1"/>
                <w:sz w:val="24"/>
                <w:szCs w:val="24"/>
              </w:rPr>
              <w:t>Date/ Time</w:t>
            </w:r>
          </w:p>
        </w:tc>
        <w:tc>
          <w:tcPr>
            <w:tcW w:w="5103" w:type="dxa"/>
            <w:shd w:val="clear" w:color="auto" w:fill="2F5496" w:themeFill="accent1" w:themeFillShade="BF"/>
          </w:tcPr>
          <w:p w14:paraId="79694F28" w14:textId="5DCD60C5" w:rsidR="007B052E" w:rsidRPr="002271AE" w:rsidRDefault="009D1CB6" w:rsidP="002A6D52">
            <w:pPr>
              <w:widowControl w:val="0"/>
              <w:wordWrap w:val="0"/>
              <w:autoSpaceDE w:val="0"/>
              <w:autoSpaceDN w:val="0"/>
              <w:rPr>
                <w:rFonts w:eastAsia="Malgun Gothic" w:cstheme="minorHAnsi"/>
                <w:b/>
                <w:bCs/>
                <w:color w:val="FFFFFF" w:themeColor="background1"/>
                <w:kern w:val="2"/>
                <w:sz w:val="24"/>
                <w:szCs w:val="24"/>
                <w:lang w:val="en-US" w:eastAsia="ko-KR"/>
              </w:rPr>
            </w:pPr>
            <w:r w:rsidRPr="002271AE">
              <w:rPr>
                <w:rFonts w:eastAsia="Malgun Gothic" w:cstheme="minorHAnsi"/>
                <w:b/>
                <w:bCs/>
                <w:color w:val="FFFFFF" w:themeColor="background1"/>
                <w:kern w:val="2"/>
                <w:sz w:val="24"/>
                <w:szCs w:val="24"/>
                <w:lang w:val="en-US" w:eastAsia="ko-KR"/>
              </w:rPr>
              <w:t xml:space="preserve">Session </w:t>
            </w:r>
          </w:p>
        </w:tc>
        <w:tc>
          <w:tcPr>
            <w:tcW w:w="2835" w:type="dxa"/>
            <w:shd w:val="clear" w:color="auto" w:fill="2F5496" w:themeFill="accent1" w:themeFillShade="BF"/>
          </w:tcPr>
          <w:p w14:paraId="580E9C61" w14:textId="15158532" w:rsidR="007B052E" w:rsidRPr="002271AE" w:rsidRDefault="009D1CB6">
            <w:pPr>
              <w:rPr>
                <w:rFonts w:cstheme="minorHAnsi"/>
                <w:b/>
                <w:bCs/>
                <w:color w:val="FFFFFF" w:themeColor="background1"/>
                <w:sz w:val="24"/>
                <w:szCs w:val="24"/>
              </w:rPr>
            </w:pPr>
            <w:r w:rsidRPr="002271AE">
              <w:rPr>
                <w:rFonts w:cstheme="minorHAnsi"/>
                <w:b/>
                <w:bCs/>
                <w:color w:val="FFFFFF" w:themeColor="background1"/>
                <w:sz w:val="24"/>
                <w:szCs w:val="24"/>
              </w:rPr>
              <w:t xml:space="preserve">Speakers </w:t>
            </w:r>
          </w:p>
        </w:tc>
      </w:tr>
      <w:tr w:rsidR="009D1CB6" w:rsidRPr="008D5211" w14:paraId="5954ACCC" w14:textId="77777777" w:rsidTr="002271AE">
        <w:tc>
          <w:tcPr>
            <w:tcW w:w="9498" w:type="dxa"/>
            <w:gridSpan w:val="3"/>
            <w:shd w:val="clear" w:color="auto" w:fill="000000" w:themeFill="text1"/>
          </w:tcPr>
          <w:p w14:paraId="269FBE4F" w14:textId="390D4711" w:rsidR="009D1CB6" w:rsidRPr="002271AE" w:rsidRDefault="00B67A54">
            <w:pPr>
              <w:rPr>
                <w:rFonts w:cstheme="minorHAnsi"/>
                <w:b/>
                <w:bCs/>
                <w:sz w:val="24"/>
                <w:szCs w:val="24"/>
              </w:rPr>
            </w:pPr>
            <w:r>
              <w:rPr>
                <w:rFonts w:cstheme="minorHAnsi"/>
                <w:b/>
                <w:bCs/>
                <w:color w:val="FFFFFF" w:themeColor="background1"/>
                <w:sz w:val="24"/>
                <w:szCs w:val="24"/>
              </w:rPr>
              <w:t>Day 1</w:t>
            </w:r>
            <w:r w:rsidR="00F53648">
              <w:rPr>
                <w:rFonts w:cstheme="minorHAnsi"/>
                <w:b/>
                <w:bCs/>
                <w:color w:val="FFFFFF" w:themeColor="background1"/>
                <w:sz w:val="24"/>
                <w:szCs w:val="24"/>
              </w:rPr>
              <w:t xml:space="preserve"> </w:t>
            </w:r>
            <w:r w:rsidR="006C6AB7">
              <w:rPr>
                <w:rFonts w:cstheme="minorHAnsi"/>
                <w:b/>
                <w:bCs/>
                <w:color w:val="FFFFFF" w:themeColor="background1"/>
                <w:sz w:val="24"/>
                <w:szCs w:val="24"/>
              </w:rPr>
              <w:t>(0</w:t>
            </w:r>
            <w:r w:rsidR="00F53648">
              <w:rPr>
                <w:rFonts w:cstheme="minorHAnsi"/>
                <w:b/>
                <w:bCs/>
                <w:color w:val="FFFFFF" w:themeColor="background1"/>
                <w:sz w:val="24"/>
                <w:szCs w:val="24"/>
              </w:rPr>
              <w:t>8</w:t>
            </w:r>
            <w:r w:rsidR="006C6AB7">
              <w:rPr>
                <w:rFonts w:cstheme="minorHAnsi"/>
                <w:b/>
                <w:bCs/>
                <w:color w:val="FFFFFF" w:themeColor="background1"/>
                <w:sz w:val="24"/>
                <w:szCs w:val="24"/>
              </w:rPr>
              <w:t>00-1</w:t>
            </w:r>
            <w:r w:rsidR="00F53648">
              <w:rPr>
                <w:rFonts w:cstheme="minorHAnsi"/>
                <w:b/>
                <w:bCs/>
                <w:color w:val="FFFFFF" w:themeColor="background1"/>
                <w:sz w:val="24"/>
                <w:szCs w:val="24"/>
              </w:rPr>
              <w:t>4</w:t>
            </w:r>
            <w:r w:rsidR="00505A90">
              <w:rPr>
                <w:rFonts w:cstheme="minorHAnsi"/>
                <w:b/>
                <w:bCs/>
                <w:color w:val="FFFFFF" w:themeColor="background1"/>
                <w:sz w:val="24"/>
                <w:szCs w:val="24"/>
              </w:rPr>
              <w:t>0</w:t>
            </w:r>
            <w:r w:rsidR="006C6AB7">
              <w:rPr>
                <w:rFonts w:cstheme="minorHAnsi"/>
                <w:b/>
                <w:bCs/>
                <w:color w:val="FFFFFF" w:themeColor="background1"/>
                <w:sz w:val="24"/>
                <w:szCs w:val="24"/>
              </w:rPr>
              <w:t>0)</w:t>
            </w:r>
          </w:p>
        </w:tc>
      </w:tr>
      <w:tr w:rsidR="000B478D" w:rsidRPr="008D5211" w14:paraId="6873246F" w14:textId="77777777" w:rsidTr="00A840B7">
        <w:tc>
          <w:tcPr>
            <w:tcW w:w="1560" w:type="dxa"/>
          </w:tcPr>
          <w:p w14:paraId="455DF94E" w14:textId="312AC6F9" w:rsidR="007B052E" w:rsidRDefault="001E0E61">
            <w:pPr>
              <w:rPr>
                <w:rFonts w:cstheme="minorHAnsi"/>
              </w:rPr>
            </w:pPr>
            <w:r>
              <w:rPr>
                <w:rFonts w:cstheme="minorHAnsi"/>
              </w:rPr>
              <w:t>08</w:t>
            </w:r>
            <w:r w:rsidR="00F53648">
              <w:rPr>
                <w:rFonts w:cstheme="minorHAnsi"/>
              </w:rPr>
              <w:t>00</w:t>
            </w:r>
            <w:r>
              <w:rPr>
                <w:rFonts w:cstheme="minorHAnsi"/>
              </w:rPr>
              <w:t>-0</w:t>
            </w:r>
            <w:r w:rsidR="00F53648">
              <w:rPr>
                <w:rFonts w:cstheme="minorHAnsi"/>
              </w:rPr>
              <w:t>8</w:t>
            </w:r>
            <w:r w:rsidR="00A9748F">
              <w:rPr>
                <w:rFonts w:cstheme="minorHAnsi"/>
              </w:rPr>
              <w:t>30</w:t>
            </w:r>
          </w:p>
          <w:p w14:paraId="31A345FD" w14:textId="60E603FF" w:rsidR="007B052E" w:rsidRPr="008D5211" w:rsidRDefault="006C6AB7">
            <w:pPr>
              <w:rPr>
                <w:rFonts w:cstheme="minorHAnsi"/>
              </w:rPr>
            </w:pPr>
            <w:r>
              <w:rPr>
                <w:rFonts w:cstheme="minorHAnsi"/>
              </w:rPr>
              <w:t>(30 mins)</w:t>
            </w:r>
          </w:p>
        </w:tc>
        <w:tc>
          <w:tcPr>
            <w:tcW w:w="5103" w:type="dxa"/>
          </w:tcPr>
          <w:p w14:paraId="5FC0D173" w14:textId="276803EC" w:rsidR="00A82482" w:rsidRPr="00F53648" w:rsidRDefault="00F53648" w:rsidP="00E17366">
            <w:pPr>
              <w:rPr>
                <w:rFonts w:eastAsia="Malgun Gothic" w:cstheme="minorHAnsi"/>
                <w:b/>
                <w:bCs/>
                <w:lang w:val="en-US" w:eastAsia="ko-KR"/>
              </w:rPr>
            </w:pPr>
            <w:r w:rsidRPr="00F53648">
              <w:rPr>
                <w:rFonts w:cs="Times New Roman"/>
                <w:b/>
                <w:bCs/>
                <w:lang w:val="en-GB"/>
              </w:rPr>
              <w:t>Opening of the workshop : presentation and definition of objectives</w:t>
            </w:r>
          </w:p>
        </w:tc>
        <w:tc>
          <w:tcPr>
            <w:tcW w:w="2835" w:type="dxa"/>
          </w:tcPr>
          <w:p w14:paraId="0330211E" w14:textId="77777777" w:rsidR="007B052E" w:rsidRPr="008D5211" w:rsidRDefault="007B052E">
            <w:pPr>
              <w:rPr>
                <w:rFonts w:cstheme="minorHAnsi"/>
              </w:rPr>
            </w:pPr>
          </w:p>
        </w:tc>
      </w:tr>
      <w:tr w:rsidR="00A87554" w:rsidRPr="008D5211" w14:paraId="6E2EFADE" w14:textId="77777777" w:rsidTr="00091970">
        <w:tc>
          <w:tcPr>
            <w:tcW w:w="9498" w:type="dxa"/>
            <w:gridSpan w:val="3"/>
            <w:shd w:val="clear" w:color="auto" w:fill="B4C6E7" w:themeFill="accent1" w:themeFillTint="66"/>
          </w:tcPr>
          <w:p w14:paraId="4CF5CD31" w14:textId="5A7CA9F4" w:rsidR="00A87554" w:rsidRPr="00A87554" w:rsidRDefault="00A87554" w:rsidP="002271AE">
            <w:pPr>
              <w:widowControl w:val="0"/>
              <w:wordWrap w:val="0"/>
              <w:autoSpaceDE w:val="0"/>
              <w:autoSpaceDN w:val="0"/>
              <w:rPr>
                <w:rFonts w:eastAsia="Malgun Gothic" w:cstheme="minorHAnsi"/>
                <w:b/>
                <w:bCs/>
                <w:kern w:val="2"/>
                <w:lang w:val="en-US" w:eastAsia="ko-KR"/>
              </w:rPr>
            </w:pPr>
            <w:r w:rsidRPr="00A87554">
              <w:rPr>
                <w:rFonts w:eastAsia="Malgun Gothic" w:cstheme="minorHAnsi"/>
                <w:b/>
                <w:bCs/>
                <w:kern w:val="2"/>
                <w:lang w:val="en-US" w:eastAsia="ko-KR"/>
              </w:rPr>
              <w:t xml:space="preserve">MODULE 1: </w:t>
            </w:r>
            <w:r w:rsidR="002B6FBE">
              <w:rPr>
                <w:rFonts w:eastAsia="Malgun Gothic" w:cstheme="minorHAnsi"/>
                <w:b/>
                <w:bCs/>
                <w:kern w:val="2"/>
                <w:lang w:val="en-US" w:eastAsia="ko-KR"/>
              </w:rPr>
              <w:t>INTRODUCTION TO</w:t>
            </w:r>
            <w:r w:rsidR="00865940">
              <w:rPr>
                <w:rFonts w:eastAsia="Malgun Gothic" w:cstheme="minorHAnsi"/>
                <w:b/>
                <w:bCs/>
                <w:kern w:val="2"/>
                <w:lang w:val="en-US" w:eastAsia="ko-KR"/>
              </w:rPr>
              <w:t xml:space="preserve"> </w:t>
            </w:r>
            <w:r w:rsidRPr="00A87554">
              <w:rPr>
                <w:rFonts w:eastAsia="Malgun Gothic" w:cstheme="minorHAnsi"/>
                <w:b/>
                <w:bCs/>
                <w:kern w:val="2"/>
                <w:lang w:val="en-US" w:eastAsia="ko-KR"/>
              </w:rPr>
              <w:t xml:space="preserve">WTO TRADE REMEDIES </w:t>
            </w:r>
          </w:p>
          <w:p w14:paraId="4EFA2A20" w14:textId="2D5BA712" w:rsidR="007C5D0F" w:rsidRPr="007C5D0F" w:rsidRDefault="00B67A54" w:rsidP="007C5D0F">
            <w:pPr>
              <w:jc w:val="both"/>
              <w:rPr>
                <w:rFonts w:cstheme="minorHAnsi"/>
                <w:i/>
                <w:iCs/>
              </w:rPr>
            </w:pPr>
            <w:r w:rsidRPr="007C5D0F">
              <w:rPr>
                <w:rFonts w:eastAsia="Malgun Gothic" w:cstheme="minorHAnsi"/>
                <w:i/>
                <w:iCs/>
                <w:kern w:val="2"/>
                <w:lang w:val="en-US" w:eastAsia="ko-KR"/>
              </w:rPr>
              <w:t xml:space="preserve">This module </w:t>
            </w:r>
            <w:r w:rsidR="00865940">
              <w:rPr>
                <w:rFonts w:eastAsia="Malgun Gothic" w:cstheme="minorHAnsi"/>
                <w:i/>
                <w:iCs/>
                <w:kern w:val="2"/>
                <w:lang w:val="en-US" w:eastAsia="ko-KR"/>
              </w:rPr>
              <w:t>introduces</w:t>
            </w:r>
            <w:r w:rsidR="00865940" w:rsidRPr="007C5D0F">
              <w:rPr>
                <w:rFonts w:eastAsia="Malgun Gothic" w:cstheme="minorHAnsi"/>
                <w:i/>
                <w:iCs/>
                <w:kern w:val="2"/>
                <w:lang w:val="en-US" w:eastAsia="ko-KR"/>
              </w:rPr>
              <w:t xml:space="preserve"> </w:t>
            </w:r>
            <w:r w:rsidRPr="007C5D0F">
              <w:rPr>
                <w:rFonts w:eastAsia="Malgun Gothic" w:cstheme="minorHAnsi"/>
                <w:i/>
                <w:iCs/>
                <w:kern w:val="2"/>
                <w:lang w:val="en-US" w:eastAsia="ko-KR"/>
              </w:rPr>
              <w:t>the core principles of the WTO</w:t>
            </w:r>
            <w:r w:rsidR="00865940">
              <w:rPr>
                <w:rFonts w:eastAsia="Malgun Gothic" w:cstheme="minorHAnsi"/>
                <w:i/>
                <w:iCs/>
                <w:kern w:val="2"/>
                <w:lang w:val="en-US" w:eastAsia="ko-KR"/>
              </w:rPr>
              <w:t>, the rationale for trade remedies,</w:t>
            </w:r>
            <w:r w:rsidRPr="007C5D0F">
              <w:rPr>
                <w:rFonts w:eastAsia="Malgun Gothic" w:cstheme="minorHAnsi"/>
                <w:i/>
                <w:iCs/>
                <w:kern w:val="2"/>
                <w:lang w:val="en-US" w:eastAsia="ko-KR"/>
              </w:rPr>
              <w:t xml:space="preserve"> and the</w:t>
            </w:r>
            <w:r w:rsidR="007C5D0F" w:rsidRPr="007C5D0F">
              <w:rPr>
                <w:rFonts w:eastAsia="Malgun Gothic" w:cstheme="minorHAnsi"/>
                <w:i/>
                <w:iCs/>
                <w:kern w:val="2"/>
                <w:lang w:val="en-US" w:eastAsia="ko-KR"/>
              </w:rPr>
              <w:t xml:space="preserve"> </w:t>
            </w:r>
            <w:r w:rsidR="00865940">
              <w:rPr>
                <w:rFonts w:eastAsia="Malgun Gothic" w:cstheme="minorHAnsi"/>
                <w:i/>
                <w:iCs/>
                <w:kern w:val="2"/>
                <w:lang w:val="en-US" w:eastAsia="ko-KR"/>
              </w:rPr>
              <w:t xml:space="preserve">commonalities and differences among the </w:t>
            </w:r>
            <w:r w:rsidR="007C5D0F" w:rsidRPr="007C5D0F">
              <w:rPr>
                <w:rFonts w:eastAsia="Malgun Gothic" w:cstheme="minorHAnsi"/>
                <w:i/>
                <w:iCs/>
                <w:kern w:val="2"/>
                <w:lang w:val="en-US" w:eastAsia="ko-KR"/>
              </w:rPr>
              <w:t>Anti-Dumping, Subsidies</w:t>
            </w:r>
            <w:r w:rsidR="00463670">
              <w:rPr>
                <w:rFonts w:eastAsia="Malgun Gothic" w:cstheme="minorHAnsi"/>
                <w:i/>
                <w:iCs/>
                <w:kern w:val="2"/>
                <w:lang w:val="en-US" w:eastAsia="ko-KR"/>
              </w:rPr>
              <w:t xml:space="preserve"> </w:t>
            </w:r>
            <w:r w:rsidR="007C5D0F" w:rsidRPr="007C5D0F">
              <w:rPr>
                <w:rFonts w:eastAsia="Malgun Gothic" w:cstheme="minorHAnsi"/>
                <w:i/>
                <w:iCs/>
                <w:kern w:val="2"/>
                <w:lang w:val="en-US" w:eastAsia="ko-KR"/>
              </w:rPr>
              <w:t>and Countervailing Measures</w:t>
            </w:r>
            <w:r w:rsidR="00463670">
              <w:rPr>
                <w:rFonts w:eastAsia="Malgun Gothic" w:cstheme="minorHAnsi"/>
                <w:i/>
                <w:iCs/>
                <w:kern w:val="2"/>
                <w:lang w:val="en-US" w:eastAsia="ko-KR"/>
              </w:rPr>
              <w:t>,</w:t>
            </w:r>
            <w:r w:rsidR="007C5D0F" w:rsidRPr="007C5D0F">
              <w:rPr>
                <w:rFonts w:eastAsia="Malgun Gothic" w:cstheme="minorHAnsi"/>
                <w:i/>
                <w:iCs/>
                <w:kern w:val="2"/>
                <w:lang w:val="en-US" w:eastAsia="ko-KR"/>
              </w:rPr>
              <w:t xml:space="preserve"> and Safeguards Agreements. </w:t>
            </w:r>
            <w:r w:rsidR="002B6FBE">
              <w:rPr>
                <w:rFonts w:eastAsia="Malgun Gothic" w:cstheme="minorHAnsi"/>
                <w:i/>
                <w:iCs/>
                <w:kern w:val="2"/>
                <w:lang w:val="en-US" w:eastAsia="ko-KR"/>
              </w:rPr>
              <w:t xml:space="preserve">Statistics and trends in the application of trade remedy measures will also be </w:t>
            </w:r>
            <w:r w:rsidR="00563B2F">
              <w:rPr>
                <w:rFonts w:eastAsia="Malgun Gothic" w:cstheme="minorHAnsi"/>
                <w:i/>
                <w:iCs/>
                <w:kern w:val="2"/>
                <w:lang w:val="en-US" w:eastAsia="ko-KR"/>
              </w:rPr>
              <w:t>reviewed</w:t>
            </w:r>
            <w:r w:rsidR="002B6FBE">
              <w:rPr>
                <w:rFonts w:eastAsia="Malgun Gothic" w:cstheme="minorHAnsi"/>
                <w:i/>
                <w:iCs/>
                <w:kern w:val="2"/>
                <w:lang w:val="en-US" w:eastAsia="ko-KR"/>
              </w:rPr>
              <w:t>.</w:t>
            </w:r>
          </w:p>
        </w:tc>
      </w:tr>
      <w:tr w:rsidR="000B478D" w:rsidRPr="008D5211" w14:paraId="1C6FFB83" w14:textId="77777777" w:rsidTr="00A840B7">
        <w:tc>
          <w:tcPr>
            <w:tcW w:w="1560" w:type="dxa"/>
          </w:tcPr>
          <w:p w14:paraId="7083ACC3" w14:textId="2957CAF8" w:rsidR="002A6D52" w:rsidRDefault="001E0E61">
            <w:pPr>
              <w:rPr>
                <w:rFonts w:cstheme="minorHAnsi"/>
              </w:rPr>
            </w:pPr>
            <w:r>
              <w:rPr>
                <w:rFonts w:cstheme="minorHAnsi"/>
              </w:rPr>
              <w:t>0</w:t>
            </w:r>
            <w:r w:rsidR="00F53648">
              <w:rPr>
                <w:rFonts w:cstheme="minorHAnsi"/>
              </w:rPr>
              <w:t>8</w:t>
            </w:r>
            <w:r>
              <w:rPr>
                <w:rFonts w:cstheme="minorHAnsi"/>
              </w:rPr>
              <w:t>30-</w:t>
            </w:r>
            <w:r w:rsidR="00F53648">
              <w:rPr>
                <w:rFonts w:cstheme="minorHAnsi"/>
              </w:rPr>
              <w:t>09</w:t>
            </w:r>
            <w:r w:rsidR="00F637D6">
              <w:rPr>
                <w:rFonts w:cstheme="minorHAnsi"/>
              </w:rPr>
              <w:t>3</w:t>
            </w:r>
            <w:r w:rsidR="00AF5481">
              <w:rPr>
                <w:rFonts w:cstheme="minorHAnsi"/>
              </w:rPr>
              <w:t>0</w:t>
            </w:r>
          </w:p>
          <w:p w14:paraId="138B3FEB" w14:textId="7BE4D2A8" w:rsidR="006C6AB7" w:rsidRPr="008D5211" w:rsidRDefault="006C6AB7">
            <w:pPr>
              <w:rPr>
                <w:rFonts w:cstheme="minorHAnsi"/>
              </w:rPr>
            </w:pPr>
            <w:r>
              <w:rPr>
                <w:rFonts w:cstheme="minorHAnsi"/>
              </w:rPr>
              <w:t>(1 hour)</w:t>
            </w:r>
          </w:p>
          <w:p w14:paraId="0687B831" w14:textId="3F012906" w:rsidR="00432682" w:rsidRPr="008D5211" w:rsidRDefault="007B052E">
            <w:pPr>
              <w:rPr>
                <w:rFonts w:cstheme="minorHAnsi"/>
              </w:rPr>
            </w:pPr>
            <w:r w:rsidRPr="008D5211">
              <w:rPr>
                <w:rFonts w:cstheme="minorHAnsi"/>
              </w:rPr>
              <w:t xml:space="preserve"> </w:t>
            </w:r>
          </w:p>
          <w:p w14:paraId="1FB1F350" w14:textId="77777777" w:rsidR="00432682" w:rsidRPr="008D5211" w:rsidRDefault="00432682">
            <w:pPr>
              <w:rPr>
                <w:rFonts w:cstheme="minorHAnsi"/>
              </w:rPr>
            </w:pPr>
          </w:p>
        </w:tc>
        <w:tc>
          <w:tcPr>
            <w:tcW w:w="5103" w:type="dxa"/>
          </w:tcPr>
          <w:p w14:paraId="6E3205BA" w14:textId="52A2DF1B" w:rsidR="00C6537C" w:rsidRPr="00091970" w:rsidRDefault="00055AD7" w:rsidP="00C6537C">
            <w:pPr>
              <w:rPr>
                <w:rFonts w:cstheme="minorHAnsi"/>
                <w:b/>
                <w:lang w:val="en-US"/>
              </w:rPr>
            </w:pPr>
            <w:r>
              <w:rPr>
                <w:rFonts w:cstheme="minorHAnsi"/>
                <w:b/>
                <w:lang w:val="en-US"/>
              </w:rPr>
              <w:t xml:space="preserve">Session 1: </w:t>
            </w:r>
            <w:r w:rsidR="005B079D">
              <w:rPr>
                <w:rFonts w:cstheme="minorHAnsi"/>
                <w:b/>
                <w:lang w:val="en-US"/>
              </w:rPr>
              <w:t>The</w:t>
            </w:r>
            <w:r w:rsidR="00C6537C" w:rsidRPr="008D5211">
              <w:rPr>
                <w:rFonts w:cstheme="minorHAnsi"/>
                <w:b/>
                <w:lang w:val="en-US"/>
              </w:rPr>
              <w:t xml:space="preserve"> WTO </w:t>
            </w:r>
            <w:r w:rsidR="00563B2F">
              <w:rPr>
                <w:rFonts w:cstheme="minorHAnsi"/>
                <w:b/>
                <w:lang w:val="en-US"/>
              </w:rPr>
              <w:t>T</w:t>
            </w:r>
            <w:r w:rsidR="00C6537C" w:rsidRPr="008D5211">
              <w:rPr>
                <w:rFonts w:cstheme="minorHAnsi"/>
                <w:b/>
                <w:lang w:val="en-US"/>
              </w:rPr>
              <w:t xml:space="preserve">rade </w:t>
            </w:r>
            <w:r w:rsidR="00563B2F">
              <w:rPr>
                <w:rFonts w:cstheme="minorHAnsi"/>
                <w:b/>
                <w:lang w:val="en-US"/>
              </w:rPr>
              <w:t>R</w:t>
            </w:r>
            <w:r w:rsidR="00C6537C" w:rsidRPr="008D5211">
              <w:rPr>
                <w:rFonts w:cstheme="minorHAnsi"/>
                <w:b/>
                <w:lang w:val="en-US"/>
              </w:rPr>
              <w:t xml:space="preserve">emedy </w:t>
            </w:r>
            <w:r w:rsidR="00563B2F">
              <w:rPr>
                <w:rFonts w:cstheme="minorHAnsi"/>
                <w:b/>
                <w:lang w:val="en-US"/>
              </w:rPr>
              <w:t>T</w:t>
            </w:r>
            <w:r w:rsidR="00C6537C" w:rsidRPr="008D5211">
              <w:rPr>
                <w:rFonts w:cstheme="minorHAnsi"/>
                <w:b/>
                <w:lang w:val="en-US"/>
              </w:rPr>
              <w:t xml:space="preserve">oolbox </w:t>
            </w:r>
          </w:p>
          <w:p w14:paraId="1012B4BF" w14:textId="7C9E533D" w:rsidR="00C6537C" w:rsidRPr="00091970" w:rsidRDefault="00C6537C" w:rsidP="00091970">
            <w:pPr>
              <w:numPr>
                <w:ilvl w:val="0"/>
                <w:numId w:val="41"/>
              </w:numPr>
              <w:rPr>
                <w:rFonts w:cstheme="minorHAnsi"/>
                <w:bCs/>
                <w:lang w:val="en-US"/>
              </w:rPr>
            </w:pPr>
            <w:r w:rsidRPr="00091970">
              <w:rPr>
                <w:rFonts w:cstheme="minorHAnsi"/>
                <w:bCs/>
                <w:lang w:val="en-US"/>
              </w:rPr>
              <w:t>Core principles of the WTO</w:t>
            </w:r>
          </w:p>
          <w:p w14:paraId="38ACC6BF" w14:textId="67117023" w:rsidR="00C6537C" w:rsidRPr="00091970" w:rsidRDefault="00C6537C" w:rsidP="00091970">
            <w:pPr>
              <w:numPr>
                <w:ilvl w:val="0"/>
                <w:numId w:val="41"/>
              </w:numPr>
              <w:rPr>
                <w:rFonts w:cstheme="minorHAnsi"/>
                <w:bCs/>
                <w:lang w:val="en-US"/>
              </w:rPr>
            </w:pPr>
            <w:r w:rsidRPr="00091970">
              <w:rPr>
                <w:rFonts w:cstheme="minorHAnsi"/>
                <w:bCs/>
                <w:lang w:val="en-US"/>
              </w:rPr>
              <w:t xml:space="preserve">The </w:t>
            </w:r>
            <w:r w:rsidR="005B079D">
              <w:rPr>
                <w:rFonts w:cstheme="minorHAnsi"/>
                <w:bCs/>
                <w:lang w:val="en-US"/>
              </w:rPr>
              <w:t>Agreement</w:t>
            </w:r>
            <w:r w:rsidR="005B079D" w:rsidRPr="00091970">
              <w:rPr>
                <w:rFonts w:cstheme="minorHAnsi"/>
                <w:bCs/>
                <w:lang w:val="en-US"/>
              </w:rPr>
              <w:t xml:space="preserve"> </w:t>
            </w:r>
            <w:r w:rsidRPr="00091970">
              <w:rPr>
                <w:rFonts w:cstheme="minorHAnsi"/>
                <w:bCs/>
                <w:lang w:val="en-US"/>
              </w:rPr>
              <w:t xml:space="preserve">panorama: </w:t>
            </w:r>
            <w:r w:rsidR="002F4AE2">
              <w:rPr>
                <w:rFonts w:cstheme="minorHAnsi"/>
                <w:bCs/>
                <w:lang w:val="en-US"/>
              </w:rPr>
              <w:t>T</w:t>
            </w:r>
            <w:r w:rsidRPr="00091970">
              <w:rPr>
                <w:rFonts w:cstheme="minorHAnsi"/>
                <w:bCs/>
                <w:lang w:val="en-US"/>
              </w:rPr>
              <w:t>he Anti-Dumping, Subsid</w:t>
            </w:r>
            <w:r w:rsidR="00091970" w:rsidRPr="00091970">
              <w:rPr>
                <w:rFonts w:cstheme="minorHAnsi"/>
                <w:bCs/>
                <w:lang w:val="en-US"/>
              </w:rPr>
              <w:t>i</w:t>
            </w:r>
            <w:r w:rsidRPr="00091970">
              <w:rPr>
                <w:rFonts w:cstheme="minorHAnsi"/>
                <w:bCs/>
                <w:lang w:val="en-US"/>
              </w:rPr>
              <w:t>es and Countervailing Measures</w:t>
            </w:r>
            <w:r w:rsidR="00563B2F">
              <w:rPr>
                <w:rFonts w:cstheme="minorHAnsi"/>
                <w:bCs/>
                <w:lang w:val="en-US"/>
              </w:rPr>
              <w:t>,</w:t>
            </w:r>
            <w:r w:rsidRPr="00091970">
              <w:rPr>
                <w:rFonts w:cstheme="minorHAnsi"/>
                <w:bCs/>
                <w:lang w:val="en-US"/>
              </w:rPr>
              <w:t xml:space="preserve"> and Safeguards Agreements </w:t>
            </w:r>
          </w:p>
          <w:p w14:paraId="5751728A" w14:textId="208C027D" w:rsidR="00C6537C" w:rsidRPr="00091970" w:rsidRDefault="00C6537C" w:rsidP="00091970">
            <w:pPr>
              <w:numPr>
                <w:ilvl w:val="0"/>
                <w:numId w:val="41"/>
              </w:numPr>
              <w:rPr>
                <w:rFonts w:cstheme="minorHAnsi"/>
                <w:bCs/>
                <w:lang w:val="en-US"/>
              </w:rPr>
            </w:pPr>
            <w:r w:rsidRPr="00091970">
              <w:rPr>
                <w:rFonts w:cstheme="minorHAnsi"/>
                <w:bCs/>
                <w:lang w:val="en-US"/>
              </w:rPr>
              <w:t xml:space="preserve">Conditions for application of trade remedies: </w:t>
            </w:r>
            <w:r w:rsidR="005B079D">
              <w:rPr>
                <w:rFonts w:cstheme="minorHAnsi"/>
                <w:bCs/>
                <w:lang w:val="en-US"/>
              </w:rPr>
              <w:t>C</w:t>
            </w:r>
            <w:r w:rsidRPr="00091970">
              <w:rPr>
                <w:rFonts w:cstheme="minorHAnsi"/>
                <w:bCs/>
                <w:lang w:val="en-US"/>
              </w:rPr>
              <w:t xml:space="preserve">ore concepts </w:t>
            </w:r>
          </w:p>
          <w:p w14:paraId="0D47F556" w14:textId="09807C33" w:rsidR="00B67A54" w:rsidRDefault="002B6FBE" w:rsidP="002F4AE2">
            <w:pPr>
              <w:numPr>
                <w:ilvl w:val="0"/>
                <w:numId w:val="41"/>
              </w:numPr>
              <w:rPr>
                <w:rFonts w:cstheme="minorHAnsi"/>
                <w:bCs/>
                <w:lang w:val="en-US"/>
              </w:rPr>
            </w:pPr>
            <w:r>
              <w:rPr>
                <w:rFonts w:cstheme="minorHAnsi"/>
                <w:bCs/>
                <w:lang w:val="en-US"/>
              </w:rPr>
              <w:t>D</w:t>
            </w:r>
            <w:r w:rsidR="00C36980" w:rsidRPr="00091970">
              <w:rPr>
                <w:rFonts w:cstheme="minorHAnsi"/>
                <w:bCs/>
                <w:lang w:val="en-US"/>
              </w:rPr>
              <w:t xml:space="preserve">ifferences and similarities among </w:t>
            </w:r>
            <w:r>
              <w:rPr>
                <w:rFonts w:cstheme="minorHAnsi"/>
                <w:bCs/>
                <w:lang w:val="en-US"/>
              </w:rPr>
              <w:t xml:space="preserve">the </w:t>
            </w:r>
            <w:r w:rsidR="005B079D">
              <w:rPr>
                <w:rFonts w:cstheme="minorHAnsi"/>
                <w:bCs/>
                <w:lang w:val="en-US"/>
              </w:rPr>
              <w:t>remedies</w:t>
            </w:r>
          </w:p>
          <w:p w14:paraId="7DAEBE6A" w14:textId="77777777" w:rsidR="00EE091B" w:rsidRDefault="00EE091B" w:rsidP="00055AD7">
            <w:pPr>
              <w:numPr>
                <w:ilvl w:val="0"/>
                <w:numId w:val="41"/>
              </w:numPr>
              <w:rPr>
                <w:rFonts w:cstheme="minorHAnsi"/>
                <w:bCs/>
                <w:lang w:val="en-US"/>
              </w:rPr>
            </w:pPr>
            <w:r w:rsidRPr="00EE091B">
              <w:rPr>
                <w:rFonts w:cstheme="minorHAnsi"/>
                <w:bCs/>
                <w:lang w:val="en-US"/>
              </w:rPr>
              <w:t>Trends in the application of trade remedy measures</w:t>
            </w:r>
          </w:p>
          <w:p w14:paraId="1A4548C7" w14:textId="4E191313" w:rsidR="00172718" w:rsidRPr="00172718" w:rsidRDefault="002F4AE2" w:rsidP="002F4AE2">
            <w:pPr>
              <w:pStyle w:val="ListParagraph"/>
              <w:numPr>
                <w:ilvl w:val="0"/>
                <w:numId w:val="41"/>
              </w:numPr>
              <w:rPr>
                <w:rFonts w:cstheme="minorHAnsi"/>
                <w:bCs/>
                <w:lang w:val="en-US"/>
              </w:rPr>
            </w:pPr>
            <w:r>
              <w:rPr>
                <w:rFonts w:cstheme="minorHAnsi"/>
                <w:bCs/>
                <w:lang w:val="en-US"/>
              </w:rPr>
              <w:t xml:space="preserve">Structural options for </w:t>
            </w:r>
            <w:r w:rsidR="004C6426">
              <w:rPr>
                <w:rFonts w:cstheme="minorHAnsi"/>
                <w:bCs/>
                <w:lang w:val="en-US"/>
              </w:rPr>
              <w:t>i</w:t>
            </w:r>
            <w:r w:rsidR="00325473">
              <w:rPr>
                <w:rFonts w:cstheme="minorHAnsi"/>
                <w:bCs/>
                <w:lang w:val="en-US"/>
              </w:rPr>
              <w:t xml:space="preserve">nvestigating </w:t>
            </w:r>
            <w:r w:rsidR="004C6426">
              <w:rPr>
                <w:rFonts w:cstheme="minorHAnsi"/>
                <w:bCs/>
                <w:lang w:val="en-US"/>
              </w:rPr>
              <w:t>a</w:t>
            </w:r>
            <w:r w:rsidR="00172718" w:rsidRPr="00172718">
              <w:rPr>
                <w:rFonts w:cstheme="minorHAnsi"/>
                <w:bCs/>
                <w:lang w:val="en-US"/>
              </w:rPr>
              <w:t xml:space="preserve">uthorities </w:t>
            </w:r>
          </w:p>
        </w:tc>
        <w:tc>
          <w:tcPr>
            <w:tcW w:w="2835" w:type="dxa"/>
          </w:tcPr>
          <w:p w14:paraId="70FE3179" w14:textId="77777777" w:rsidR="00CE67D7" w:rsidRDefault="000B478D" w:rsidP="000B478D">
            <w:pPr>
              <w:rPr>
                <w:rFonts w:cstheme="minorHAnsi"/>
              </w:rPr>
            </w:pPr>
            <w:r w:rsidRPr="000B478D">
              <w:rPr>
                <w:rFonts w:cstheme="minorHAnsi"/>
              </w:rPr>
              <w:t xml:space="preserve">-Mr Paul Piquado, </w:t>
            </w:r>
          </w:p>
          <w:p w14:paraId="6A979869" w14:textId="77777777" w:rsidR="007F60FE" w:rsidRDefault="000B478D" w:rsidP="000B478D">
            <w:pPr>
              <w:rPr>
                <w:rFonts w:cstheme="minorHAnsi"/>
              </w:rPr>
            </w:pPr>
            <w:r w:rsidRPr="000B478D">
              <w:rPr>
                <w:rFonts w:cstheme="minorHAnsi"/>
              </w:rPr>
              <w:t>Counsellor and Senior Lawyer, Rules Division, WTO</w:t>
            </w:r>
          </w:p>
          <w:p w14:paraId="399D2F71" w14:textId="77777777" w:rsidR="00F53648" w:rsidRDefault="00F53648" w:rsidP="000B478D">
            <w:pPr>
              <w:rPr>
                <w:rFonts w:cstheme="minorHAnsi"/>
              </w:rPr>
            </w:pPr>
          </w:p>
          <w:p w14:paraId="5E31C5B6" w14:textId="77777777" w:rsidR="00F53648" w:rsidRPr="000B478D" w:rsidRDefault="00F53648" w:rsidP="00F53648">
            <w:pPr>
              <w:rPr>
                <w:rFonts w:cstheme="minorHAnsi"/>
              </w:rPr>
            </w:pPr>
            <w:r>
              <w:rPr>
                <w:rFonts w:cstheme="minorHAnsi"/>
              </w:rPr>
              <w:t>-</w:t>
            </w:r>
            <w:r w:rsidRPr="000B478D">
              <w:rPr>
                <w:rFonts w:cstheme="minorHAnsi"/>
              </w:rPr>
              <w:t>Mr Seref Gokay Coskun, Counsellor, Rules Division, WTO</w:t>
            </w:r>
          </w:p>
          <w:p w14:paraId="2F6A4F46" w14:textId="27869490" w:rsidR="00F53648" w:rsidRPr="008D5211" w:rsidRDefault="00F53648" w:rsidP="000B478D">
            <w:pPr>
              <w:rPr>
                <w:rFonts w:cstheme="minorHAnsi"/>
              </w:rPr>
            </w:pPr>
          </w:p>
        </w:tc>
      </w:tr>
      <w:tr w:rsidR="00D07BEE" w:rsidRPr="008D5211" w14:paraId="271194E1" w14:textId="77777777" w:rsidTr="00A840B7">
        <w:tc>
          <w:tcPr>
            <w:tcW w:w="1560" w:type="dxa"/>
          </w:tcPr>
          <w:p w14:paraId="436B08F9" w14:textId="5C67694B" w:rsidR="00D07BEE" w:rsidRDefault="00D07BEE">
            <w:pPr>
              <w:rPr>
                <w:rFonts w:cstheme="minorHAnsi"/>
              </w:rPr>
            </w:pPr>
            <w:r>
              <w:rPr>
                <w:rFonts w:cstheme="minorHAnsi"/>
              </w:rPr>
              <w:t>0930 – 0945</w:t>
            </w:r>
          </w:p>
          <w:p w14:paraId="2AC315D9" w14:textId="2B260B0E" w:rsidR="00D07BEE" w:rsidRDefault="00D07BEE">
            <w:pPr>
              <w:rPr>
                <w:rFonts w:cstheme="minorHAnsi"/>
              </w:rPr>
            </w:pPr>
            <w:r>
              <w:rPr>
                <w:rFonts w:cstheme="minorHAnsi"/>
              </w:rPr>
              <w:t>(15 mins)</w:t>
            </w:r>
          </w:p>
        </w:tc>
        <w:tc>
          <w:tcPr>
            <w:tcW w:w="5103" w:type="dxa"/>
          </w:tcPr>
          <w:p w14:paraId="192A0272" w14:textId="50492825" w:rsidR="00D07BEE" w:rsidRDefault="00D07BEE" w:rsidP="00C6537C">
            <w:pPr>
              <w:rPr>
                <w:rFonts w:cstheme="minorHAnsi"/>
                <w:b/>
                <w:lang w:val="en-US"/>
              </w:rPr>
            </w:pPr>
            <w:r>
              <w:rPr>
                <w:rFonts w:eastAsia="Malgun Gothic" w:cstheme="minorHAnsi"/>
                <w:b/>
                <w:color w:val="4472C4" w:themeColor="accent1"/>
                <w:kern w:val="2"/>
                <w:lang w:val="en-US" w:eastAsia="ko-KR"/>
              </w:rPr>
              <w:t>COFFEE BREAK</w:t>
            </w:r>
          </w:p>
        </w:tc>
        <w:tc>
          <w:tcPr>
            <w:tcW w:w="2835" w:type="dxa"/>
          </w:tcPr>
          <w:p w14:paraId="7BAC965E" w14:textId="77777777" w:rsidR="00D07BEE" w:rsidRPr="000B478D" w:rsidRDefault="00D07BEE" w:rsidP="000B478D">
            <w:pPr>
              <w:rPr>
                <w:rFonts w:cstheme="minorHAnsi"/>
              </w:rPr>
            </w:pPr>
          </w:p>
        </w:tc>
      </w:tr>
      <w:tr w:rsidR="00F53648" w:rsidRPr="007C5D0F" w14:paraId="2FCEA74B" w14:textId="77777777" w:rsidTr="008024CF">
        <w:tc>
          <w:tcPr>
            <w:tcW w:w="9498" w:type="dxa"/>
            <w:gridSpan w:val="3"/>
            <w:shd w:val="clear" w:color="auto" w:fill="B4C6E7" w:themeFill="accent1" w:themeFillTint="66"/>
          </w:tcPr>
          <w:p w14:paraId="33202516" w14:textId="4115E782" w:rsidR="0056239F" w:rsidRPr="00091970" w:rsidRDefault="0056239F" w:rsidP="0056239F">
            <w:pPr>
              <w:rPr>
                <w:rFonts w:cstheme="minorHAnsi"/>
                <w:b/>
              </w:rPr>
            </w:pPr>
            <w:r w:rsidRPr="00091970">
              <w:rPr>
                <w:rFonts w:cstheme="minorHAnsi"/>
                <w:b/>
              </w:rPr>
              <w:t xml:space="preserve">MODULE </w:t>
            </w:r>
            <w:r>
              <w:rPr>
                <w:rFonts w:cstheme="minorHAnsi"/>
                <w:b/>
              </w:rPr>
              <w:t>2</w:t>
            </w:r>
            <w:r w:rsidRPr="00091970">
              <w:rPr>
                <w:rFonts w:cstheme="minorHAnsi"/>
                <w:b/>
              </w:rPr>
              <w:t xml:space="preserve">: ANTI-DUMPING (AD) MEASURES </w:t>
            </w:r>
          </w:p>
          <w:p w14:paraId="6FDA968E" w14:textId="733B8E70" w:rsidR="00F53648" w:rsidRPr="007C5D0F" w:rsidRDefault="0056239F" w:rsidP="0056239F">
            <w:pPr>
              <w:jc w:val="both"/>
              <w:rPr>
                <w:rFonts w:cstheme="minorHAnsi"/>
                <w:i/>
              </w:rPr>
            </w:pPr>
            <w:r w:rsidRPr="00091970">
              <w:rPr>
                <w:rFonts w:cstheme="minorHAnsi"/>
                <w:i/>
              </w:rPr>
              <w:t xml:space="preserve">This module </w:t>
            </w:r>
            <w:r>
              <w:rPr>
                <w:rFonts w:cstheme="minorHAnsi"/>
                <w:i/>
              </w:rPr>
              <w:t>reviews the key elements of the</w:t>
            </w:r>
            <w:r w:rsidRPr="00091970">
              <w:rPr>
                <w:rFonts w:cstheme="minorHAnsi"/>
                <w:i/>
              </w:rPr>
              <w:t xml:space="preserve"> AD </w:t>
            </w:r>
            <w:r>
              <w:rPr>
                <w:rFonts w:cstheme="minorHAnsi"/>
                <w:i/>
              </w:rPr>
              <w:t xml:space="preserve">Agreement, including the determination of dumping and injury, causal relationship, duty calculation, duty application, and the </w:t>
            </w:r>
            <w:r w:rsidRPr="00091970">
              <w:rPr>
                <w:rFonts w:cstheme="minorHAnsi"/>
                <w:i/>
              </w:rPr>
              <w:t xml:space="preserve">investigation process. </w:t>
            </w:r>
            <w:r w:rsidRPr="007C5D0F">
              <w:rPr>
                <w:rFonts w:cstheme="minorHAnsi"/>
                <w:i/>
              </w:rPr>
              <w:t xml:space="preserve">Factual discussion of </w:t>
            </w:r>
            <w:r>
              <w:rPr>
                <w:rFonts w:cstheme="minorHAnsi"/>
                <w:i/>
              </w:rPr>
              <w:t xml:space="preserve">relevant WTO </w:t>
            </w:r>
            <w:r w:rsidRPr="007C5D0F">
              <w:rPr>
                <w:rFonts w:cstheme="minorHAnsi"/>
                <w:i/>
              </w:rPr>
              <w:t>dispute settlement findings</w:t>
            </w:r>
            <w:r>
              <w:rPr>
                <w:rFonts w:cstheme="minorHAnsi"/>
                <w:i/>
              </w:rPr>
              <w:t>,</w:t>
            </w:r>
            <w:r w:rsidRPr="007C5D0F">
              <w:rPr>
                <w:rFonts w:cstheme="minorHAnsi"/>
                <w:i/>
              </w:rPr>
              <w:t xml:space="preserve"> </w:t>
            </w:r>
            <w:r>
              <w:rPr>
                <w:rFonts w:cstheme="minorHAnsi"/>
                <w:i/>
              </w:rPr>
              <w:t xml:space="preserve">Q&amp;As and scenario-based exercises </w:t>
            </w:r>
            <w:r w:rsidRPr="007C5D0F">
              <w:rPr>
                <w:rFonts w:cstheme="minorHAnsi"/>
                <w:i/>
              </w:rPr>
              <w:t xml:space="preserve">will be </w:t>
            </w:r>
            <w:r>
              <w:rPr>
                <w:rFonts w:cstheme="minorHAnsi"/>
                <w:i/>
              </w:rPr>
              <w:t>reviewed</w:t>
            </w:r>
            <w:r w:rsidRPr="007C5D0F">
              <w:rPr>
                <w:rFonts w:cstheme="minorHAnsi"/>
                <w:i/>
              </w:rPr>
              <w:t xml:space="preserve"> throughout the presentation</w:t>
            </w:r>
            <w:r>
              <w:rPr>
                <w:rFonts w:cstheme="minorHAnsi"/>
                <w:i/>
              </w:rPr>
              <w:t>.</w:t>
            </w:r>
          </w:p>
        </w:tc>
      </w:tr>
      <w:tr w:rsidR="0056239F" w:rsidRPr="008D5211" w14:paraId="43AF8ED5" w14:textId="77777777" w:rsidTr="00A840B7">
        <w:tc>
          <w:tcPr>
            <w:tcW w:w="1560" w:type="dxa"/>
          </w:tcPr>
          <w:p w14:paraId="63CC5C6A" w14:textId="529004ED" w:rsidR="0056239F" w:rsidRDefault="0056239F" w:rsidP="0056239F">
            <w:pPr>
              <w:rPr>
                <w:rFonts w:cstheme="minorHAnsi"/>
              </w:rPr>
            </w:pPr>
            <w:r>
              <w:rPr>
                <w:rFonts w:cstheme="minorHAnsi"/>
              </w:rPr>
              <w:t>0945-1115</w:t>
            </w:r>
          </w:p>
          <w:p w14:paraId="48332290" w14:textId="3202407A" w:rsidR="0056239F" w:rsidRDefault="0056239F" w:rsidP="0056239F">
            <w:pPr>
              <w:rPr>
                <w:rFonts w:cstheme="minorHAnsi"/>
              </w:rPr>
            </w:pPr>
            <w:r>
              <w:rPr>
                <w:rFonts w:cstheme="minorHAnsi"/>
              </w:rPr>
              <w:t>(1hr 30 mins)</w:t>
            </w:r>
          </w:p>
        </w:tc>
        <w:tc>
          <w:tcPr>
            <w:tcW w:w="5103" w:type="dxa"/>
          </w:tcPr>
          <w:p w14:paraId="39B571D8" w14:textId="4E44028B" w:rsidR="0056239F" w:rsidRDefault="0056239F" w:rsidP="0056239F">
            <w:pPr>
              <w:rPr>
                <w:b/>
                <w:lang w:val="en-GB"/>
              </w:rPr>
            </w:pPr>
            <w:r>
              <w:rPr>
                <w:b/>
                <w:lang w:val="en-GB"/>
              </w:rPr>
              <w:t xml:space="preserve">Session 2: </w:t>
            </w:r>
            <w:r w:rsidRPr="006B4CA0">
              <w:rPr>
                <w:b/>
                <w:lang w:val="en-GB"/>
              </w:rPr>
              <w:t>The anti-dumping investigation</w:t>
            </w:r>
          </w:p>
          <w:p w14:paraId="00DD4E4E" w14:textId="77777777" w:rsidR="0056239F" w:rsidRPr="005F339E" w:rsidRDefault="0056239F" w:rsidP="0056239F">
            <w:pPr>
              <w:numPr>
                <w:ilvl w:val="1"/>
                <w:numId w:val="15"/>
              </w:numPr>
              <w:ind w:left="746" w:hanging="425"/>
              <w:jc w:val="both"/>
              <w:rPr>
                <w:lang w:val="en-US"/>
              </w:rPr>
            </w:pPr>
            <w:r w:rsidRPr="005F339E">
              <w:rPr>
                <w:lang w:val="en-US"/>
              </w:rPr>
              <w:t>Initiation of the investigation</w:t>
            </w:r>
          </w:p>
          <w:p w14:paraId="4511A9DA" w14:textId="77777777" w:rsidR="0056239F" w:rsidRPr="005F339E" w:rsidRDefault="0056239F" w:rsidP="0056239F">
            <w:pPr>
              <w:numPr>
                <w:ilvl w:val="2"/>
                <w:numId w:val="15"/>
              </w:numPr>
              <w:ind w:left="1030" w:hanging="426"/>
              <w:jc w:val="both"/>
              <w:rPr>
                <w:lang w:val="en-US"/>
              </w:rPr>
            </w:pPr>
            <w:r w:rsidRPr="005F339E">
              <w:rPr>
                <w:lang w:val="en-US"/>
              </w:rPr>
              <w:t xml:space="preserve">The role of the </w:t>
            </w:r>
            <w:r>
              <w:rPr>
                <w:lang w:val="en-US"/>
              </w:rPr>
              <w:t>domestic industry</w:t>
            </w:r>
            <w:r w:rsidRPr="005F339E">
              <w:rPr>
                <w:lang w:val="en-US"/>
              </w:rPr>
              <w:t xml:space="preserve"> and the application</w:t>
            </w:r>
          </w:p>
          <w:p w14:paraId="51ADEDC8" w14:textId="77777777" w:rsidR="0056239F" w:rsidRPr="005F339E" w:rsidRDefault="0056239F" w:rsidP="0056239F">
            <w:pPr>
              <w:numPr>
                <w:ilvl w:val="2"/>
                <w:numId w:val="15"/>
              </w:numPr>
              <w:ind w:left="1030" w:hanging="426"/>
              <w:jc w:val="both"/>
              <w:rPr>
                <w:lang w:val="en-US"/>
              </w:rPr>
            </w:pPr>
            <w:r w:rsidRPr="005F339E">
              <w:rPr>
                <w:lang w:val="en-US"/>
              </w:rPr>
              <w:t>The role of the investigating authority, transparency and due process</w:t>
            </w:r>
          </w:p>
          <w:p w14:paraId="1887F1F1" w14:textId="77777777" w:rsidR="0056239F" w:rsidRPr="005F339E" w:rsidRDefault="0056239F" w:rsidP="0056239F">
            <w:pPr>
              <w:numPr>
                <w:ilvl w:val="1"/>
                <w:numId w:val="15"/>
              </w:numPr>
              <w:ind w:left="746" w:hanging="425"/>
              <w:jc w:val="both"/>
              <w:rPr>
                <w:lang w:val="en-US"/>
              </w:rPr>
            </w:pPr>
            <w:r w:rsidRPr="005F339E">
              <w:rPr>
                <w:lang w:val="en-US"/>
              </w:rPr>
              <w:t>Collection of information</w:t>
            </w:r>
          </w:p>
          <w:p w14:paraId="32596DB0" w14:textId="77777777" w:rsidR="0056239F" w:rsidRPr="005F339E" w:rsidRDefault="0056239F" w:rsidP="0056239F">
            <w:pPr>
              <w:numPr>
                <w:ilvl w:val="1"/>
                <w:numId w:val="15"/>
              </w:numPr>
              <w:ind w:left="746" w:hanging="425"/>
              <w:jc w:val="both"/>
              <w:rPr>
                <w:lang w:val="en-US"/>
              </w:rPr>
            </w:pPr>
            <w:r w:rsidRPr="005F339E">
              <w:rPr>
                <w:lang w:val="en-US"/>
              </w:rPr>
              <w:t xml:space="preserve">Questionnaire analysis and calculation steps: </w:t>
            </w:r>
          </w:p>
          <w:p w14:paraId="2BD1C930" w14:textId="77777777" w:rsidR="0056239F" w:rsidRPr="005F339E" w:rsidRDefault="0056239F" w:rsidP="0056239F">
            <w:pPr>
              <w:numPr>
                <w:ilvl w:val="2"/>
                <w:numId w:val="15"/>
              </w:numPr>
              <w:ind w:left="1030" w:hanging="426"/>
              <w:jc w:val="both"/>
              <w:rPr>
                <w:lang w:val="en-US"/>
              </w:rPr>
            </w:pPr>
            <w:r w:rsidRPr="005F339E">
              <w:rPr>
                <w:lang w:val="en-US"/>
              </w:rPr>
              <w:t>Organization of the firm and its accounts </w:t>
            </w:r>
          </w:p>
          <w:p w14:paraId="2A1FFE85" w14:textId="77777777" w:rsidR="0056239F" w:rsidRPr="005F339E" w:rsidRDefault="0056239F" w:rsidP="0056239F">
            <w:pPr>
              <w:numPr>
                <w:ilvl w:val="2"/>
                <w:numId w:val="15"/>
              </w:numPr>
              <w:ind w:left="1030" w:hanging="426"/>
              <w:jc w:val="both"/>
              <w:rPr>
                <w:lang w:val="en-US"/>
              </w:rPr>
            </w:pPr>
            <w:r w:rsidRPr="005F339E">
              <w:rPr>
                <w:lang w:val="en-US"/>
              </w:rPr>
              <w:t>Products and production processes</w:t>
            </w:r>
          </w:p>
          <w:p w14:paraId="2874041E" w14:textId="77777777" w:rsidR="0056239F" w:rsidRPr="005F339E" w:rsidRDefault="0056239F" w:rsidP="0056239F">
            <w:pPr>
              <w:numPr>
                <w:ilvl w:val="2"/>
                <w:numId w:val="15"/>
              </w:numPr>
              <w:ind w:left="1030" w:hanging="426"/>
              <w:jc w:val="both"/>
              <w:rPr>
                <w:lang w:val="en-US"/>
              </w:rPr>
            </w:pPr>
            <w:r w:rsidRPr="005F339E">
              <w:rPr>
                <w:lang w:val="en-US"/>
              </w:rPr>
              <w:t>Characteristics of home market and export transactions</w:t>
            </w:r>
          </w:p>
          <w:p w14:paraId="05CEB789" w14:textId="77777777" w:rsidR="0056239F" w:rsidRPr="005F339E" w:rsidRDefault="0056239F" w:rsidP="0056239F">
            <w:pPr>
              <w:numPr>
                <w:ilvl w:val="2"/>
                <w:numId w:val="15"/>
              </w:numPr>
              <w:ind w:left="1030" w:hanging="426"/>
              <w:jc w:val="both"/>
              <w:rPr>
                <w:lang w:val="en-US"/>
              </w:rPr>
            </w:pPr>
            <w:r w:rsidRPr="005F339E">
              <w:rPr>
                <w:lang w:val="en-US"/>
              </w:rPr>
              <w:t>Cost and price analysis : profitability and sufficiency tests </w:t>
            </w:r>
          </w:p>
          <w:p w14:paraId="6663C4EE" w14:textId="77777777" w:rsidR="0056239F" w:rsidRPr="005F339E" w:rsidRDefault="0056239F" w:rsidP="0056239F">
            <w:pPr>
              <w:numPr>
                <w:ilvl w:val="2"/>
                <w:numId w:val="15"/>
              </w:numPr>
              <w:ind w:left="1030" w:hanging="426"/>
              <w:jc w:val="both"/>
              <w:rPr>
                <w:lang w:val="en-US"/>
              </w:rPr>
            </w:pPr>
            <w:r w:rsidRPr="005F339E">
              <w:rPr>
                <w:lang w:val="en-US"/>
              </w:rPr>
              <w:t>Calculation of the dumping margin and the relevant adjustments</w:t>
            </w:r>
          </w:p>
          <w:p w14:paraId="6CC1BA36" w14:textId="7CA3F9DC" w:rsidR="0056239F" w:rsidRDefault="0056239F" w:rsidP="0056239F">
            <w:pPr>
              <w:rPr>
                <w:rFonts w:cstheme="minorHAnsi"/>
                <w:b/>
                <w:lang w:val="en-US"/>
              </w:rPr>
            </w:pPr>
          </w:p>
        </w:tc>
        <w:tc>
          <w:tcPr>
            <w:tcW w:w="2835" w:type="dxa"/>
          </w:tcPr>
          <w:p w14:paraId="1C86C737" w14:textId="77777777" w:rsidR="0056239F" w:rsidRDefault="0056239F" w:rsidP="0056239F">
            <w:pPr>
              <w:rPr>
                <w:rFonts w:cstheme="minorHAnsi"/>
              </w:rPr>
            </w:pPr>
            <w:r w:rsidRPr="000B478D">
              <w:rPr>
                <w:rFonts w:cstheme="minorHAnsi"/>
              </w:rPr>
              <w:t xml:space="preserve">-Mr Paul Piquado, </w:t>
            </w:r>
          </w:p>
          <w:p w14:paraId="799539E8" w14:textId="77777777" w:rsidR="0056239F" w:rsidRDefault="0056239F" w:rsidP="0056239F">
            <w:pPr>
              <w:rPr>
                <w:rFonts w:cstheme="minorHAnsi"/>
              </w:rPr>
            </w:pPr>
            <w:r w:rsidRPr="000B478D">
              <w:rPr>
                <w:rFonts w:cstheme="minorHAnsi"/>
              </w:rPr>
              <w:t>Counsellor and Senior Lawyer, Rules Division, WTO</w:t>
            </w:r>
          </w:p>
          <w:p w14:paraId="6CDB6A92" w14:textId="77777777" w:rsidR="0056239F" w:rsidRDefault="0056239F" w:rsidP="0056239F">
            <w:pPr>
              <w:rPr>
                <w:rFonts w:cstheme="minorHAnsi"/>
              </w:rPr>
            </w:pPr>
          </w:p>
          <w:p w14:paraId="38945575" w14:textId="77777777" w:rsidR="0056239F" w:rsidRPr="000B478D" w:rsidRDefault="0056239F" w:rsidP="0056239F">
            <w:pPr>
              <w:rPr>
                <w:rFonts w:cstheme="minorHAnsi"/>
              </w:rPr>
            </w:pPr>
            <w:r>
              <w:rPr>
                <w:rFonts w:cstheme="minorHAnsi"/>
              </w:rPr>
              <w:t>-</w:t>
            </w:r>
            <w:r w:rsidRPr="000B478D">
              <w:rPr>
                <w:rFonts w:cstheme="minorHAnsi"/>
              </w:rPr>
              <w:t>Mr Seref Gokay Coskun, Counsellor, Rules Division, WTO</w:t>
            </w:r>
          </w:p>
          <w:p w14:paraId="5F11A9E5" w14:textId="752B641E" w:rsidR="0056239F" w:rsidRDefault="0056239F" w:rsidP="0056239F">
            <w:pPr>
              <w:rPr>
                <w:rFonts w:cstheme="minorHAnsi"/>
              </w:rPr>
            </w:pPr>
          </w:p>
        </w:tc>
      </w:tr>
      <w:tr w:rsidR="00D07BEE" w:rsidRPr="008D5211" w14:paraId="7977343D" w14:textId="77777777" w:rsidTr="00A840B7">
        <w:tc>
          <w:tcPr>
            <w:tcW w:w="1560" w:type="dxa"/>
          </w:tcPr>
          <w:p w14:paraId="4895BE91" w14:textId="77777777" w:rsidR="00D07BEE" w:rsidRDefault="00D07BEE" w:rsidP="00F53648">
            <w:pPr>
              <w:rPr>
                <w:rFonts w:cstheme="minorHAnsi"/>
              </w:rPr>
            </w:pPr>
            <w:r>
              <w:rPr>
                <w:rFonts w:cstheme="minorHAnsi"/>
              </w:rPr>
              <w:t>1115-12</w:t>
            </w:r>
            <w:r w:rsidR="0056239F">
              <w:rPr>
                <w:rFonts w:cstheme="minorHAnsi"/>
              </w:rPr>
              <w:t>15</w:t>
            </w:r>
          </w:p>
          <w:p w14:paraId="4F922E78" w14:textId="4B0C08ED" w:rsidR="0056239F" w:rsidRDefault="0056239F" w:rsidP="00F53648">
            <w:pPr>
              <w:rPr>
                <w:rFonts w:cstheme="minorHAnsi"/>
              </w:rPr>
            </w:pPr>
            <w:r>
              <w:rPr>
                <w:rFonts w:cstheme="minorHAnsi"/>
              </w:rPr>
              <w:t>(1 hr)</w:t>
            </w:r>
          </w:p>
        </w:tc>
        <w:tc>
          <w:tcPr>
            <w:tcW w:w="5103" w:type="dxa"/>
          </w:tcPr>
          <w:p w14:paraId="66E21DFC" w14:textId="77777777" w:rsidR="0056239F" w:rsidRDefault="0056239F" w:rsidP="0056239F">
            <w:pPr>
              <w:rPr>
                <w:b/>
                <w:lang w:val="en-GB"/>
              </w:rPr>
            </w:pPr>
            <w:r w:rsidRPr="006B4CA0">
              <w:rPr>
                <w:b/>
                <w:lang w:val="en-GB"/>
              </w:rPr>
              <w:t>Exercises, group work</w:t>
            </w:r>
          </w:p>
          <w:p w14:paraId="0BA53FCA" w14:textId="77777777" w:rsidR="0056239F" w:rsidRPr="005F339E" w:rsidRDefault="0056239F" w:rsidP="0056239F">
            <w:pPr>
              <w:numPr>
                <w:ilvl w:val="1"/>
                <w:numId w:val="21"/>
              </w:numPr>
              <w:ind w:left="604" w:hanging="283"/>
              <w:rPr>
                <w:lang w:val="en-US"/>
              </w:rPr>
            </w:pPr>
            <w:r w:rsidRPr="005F339E">
              <w:rPr>
                <w:lang w:val="en-US"/>
              </w:rPr>
              <w:t>Analysis of hypothetical cases to determine the existence of dumping</w:t>
            </w:r>
          </w:p>
          <w:p w14:paraId="360D81B1" w14:textId="77777777" w:rsidR="00D07BEE" w:rsidRPr="0056239F" w:rsidRDefault="00D07BEE" w:rsidP="00F53648">
            <w:pPr>
              <w:rPr>
                <w:rFonts w:cstheme="minorHAnsi"/>
                <w:b/>
                <w:lang w:val="en-US"/>
              </w:rPr>
            </w:pPr>
          </w:p>
        </w:tc>
        <w:tc>
          <w:tcPr>
            <w:tcW w:w="2835" w:type="dxa"/>
          </w:tcPr>
          <w:p w14:paraId="3F3543CF" w14:textId="77777777" w:rsidR="00D07BEE" w:rsidRPr="000B478D" w:rsidRDefault="00D07BEE" w:rsidP="00F53648">
            <w:pPr>
              <w:rPr>
                <w:rFonts w:cstheme="minorHAnsi"/>
              </w:rPr>
            </w:pPr>
          </w:p>
        </w:tc>
      </w:tr>
      <w:tr w:rsidR="00F53648" w:rsidRPr="008D5211" w14:paraId="38C88E28" w14:textId="77777777" w:rsidTr="00A840B7">
        <w:tc>
          <w:tcPr>
            <w:tcW w:w="1560" w:type="dxa"/>
          </w:tcPr>
          <w:p w14:paraId="51146342" w14:textId="3C98DD9A" w:rsidR="00F53648" w:rsidRDefault="00F53648" w:rsidP="00F53648">
            <w:pPr>
              <w:rPr>
                <w:rFonts w:cstheme="minorHAnsi"/>
              </w:rPr>
            </w:pPr>
            <w:r>
              <w:rPr>
                <w:rFonts w:cstheme="minorHAnsi"/>
              </w:rPr>
              <w:lastRenderedPageBreak/>
              <w:t>1</w:t>
            </w:r>
            <w:r w:rsidR="00D07BEE">
              <w:rPr>
                <w:rFonts w:cstheme="minorHAnsi"/>
              </w:rPr>
              <w:t>2</w:t>
            </w:r>
            <w:r w:rsidR="0056239F">
              <w:rPr>
                <w:rFonts w:cstheme="minorHAnsi"/>
              </w:rPr>
              <w:t>15</w:t>
            </w:r>
            <w:r>
              <w:rPr>
                <w:rFonts w:cstheme="minorHAnsi"/>
              </w:rPr>
              <w:t>-1</w:t>
            </w:r>
            <w:r w:rsidR="00D07BEE">
              <w:rPr>
                <w:rFonts w:cstheme="minorHAnsi"/>
              </w:rPr>
              <w:t>2</w:t>
            </w:r>
            <w:r w:rsidR="0056239F">
              <w:rPr>
                <w:rFonts w:cstheme="minorHAnsi"/>
              </w:rPr>
              <w:t>45</w:t>
            </w:r>
          </w:p>
          <w:p w14:paraId="57B0606A" w14:textId="20CCC90C" w:rsidR="00F53648" w:rsidRDefault="00F53648" w:rsidP="00F53648">
            <w:pPr>
              <w:rPr>
                <w:rFonts w:cstheme="minorHAnsi"/>
              </w:rPr>
            </w:pPr>
            <w:r>
              <w:rPr>
                <w:rFonts w:cstheme="minorHAnsi"/>
              </w:rPr>
              <w:t>(30 mins)</w:t>
            </w:r>
          </w:p>
        </w:tc>
        <w:tc>
          <w:tcPr>
            <w:tcW w:w="5103" w:type="dxa"/>
          </w:tcPr>
          <w:p w14:paraId="2D1689A8" w14:textId="77777777" w:rsidR="00F53648" w:rsidRDefault="00F53648" w:rsidP="00F53648">
            <w:pPr>
              <w:jc w:val="center"/>
              <w:rPr>
                <w:rFonts w:eastAsia="Malgun Gothic" w:cstheme="minorHAnsi"/>
                <w:b/>
                <w:color w:val="4472C4" w:themeColor="accent1"/>
                <w:kern w:val="2"/>
                <w:lang w:val="en-US" w:eastAsia="ko-KR"/>
              </w:rPr>
            </w:pPr>
            <w:r>
              <w:rPr>
                <w:rFonts w:eastAsia="Malgun Gothic" w:cstheme="minorHAnsi"/>
                <w:b/>
                <w:color w:val="4472C4" w:themeColor="accent1"/>
                <w:kern w:val="2"/>
                <w:lang w:val="en-US" w:eastAsia="ko-KR"/>
              </w:rPr>
              <w:t xml:space="preserve">COFFEE BREAK </w:t>
            </w:r>
          </w:p>
          <w:p w14:paraId="5B29992B" w14:textId="77777777" w:rsidR="00D07BEE" w:rsidRDefault="00D07BEE" w:rsidP="00F53648">
            <w:pPr>
              <w:jc w:val="center"/>
              <w:rPr>
                <w:rFonts w:eastAsia="Malgun Gothic" w:cstheme="minorHAnsi"/>
                <w:b/>
                <w:color w:val="4472C4" w:themeColor="accent1"/>
                <w:kern w:val="2"/>
                <w:lang w:val="en-US" w:eastAsia="ko-KR"/>
              </w:rPr>
            </w:pPr>
          </w:p>
          <w:p w14:paraId="41A400BA" w14:textId="77777777" w:rsidR="00D07BEE" w:rsidRDefault="00D07BEE" w:rsidP="00F53648">
            <w:pPr>
              <w:jc w:val="center"/>
              <w:rPr>
                <w:rFonts w:eastAsia="Malgun Gothic" w:cstheme="minorHAnsi"/>
                <w:b/>
                <w:color w:val="4472C4" w:themeColor="accent1"/>
                <w:kern w:val="2"/>
                <w:lang w:val="en-US" w:eastAsia="ko-KR"/>
              </w:rPr>
            </w:pPr>
          </w:p>
          <w:p w14:paraId="246FB201" w14:textId="315CDD1E" w:rsidR="00D07BEE" w:rsidRPr="001E0E61" w:rsidRDefault="00D07BEE" w:rsidP="00F53648">
            <w:pPr>
              <w:jc w:val="center"/>
              <w:rPr>
                <w:rFonts w:eastAsia="Malgun Gothic" w:cstheme="minorHAnsi"/>
                <w:b/>
                <w:color w:val="4472C4" w:themeColor="accent1"/>
                <w:kern w:val="2"/>
                <w:lang w:val="en-US" w:eastAsia="ko-KR"/>
              </w:rPr>
            </w:pPr>
          </w:p>
        </w:tc>
        <w:tc>
          <w:tcPr>
            <w:tcW w:w="2835" w:type="dxa"/>
          </w:tcPr>
          <w:p w14:paraId="6C0C8EA0" w14:textId="77777777" w:rsidR="00F53648" w:rsidRPr="008D5211" w:rsidRDefault="00F53648" w:rsidP="00F53648">
            <w:pPr>
              <w:rPr>
                <w:rFonts w:cstheme="minorHAnsi"/>
              </w:rPr>
            </w:pPr>
          </w:p>
        </w:tc>
      </w:tr>
      <w:tr w:rsidR="0056239F" w:rsidRPr="008D5211" w14:paraId="1DE861DC" w14:textId="77777777" w:rsidTr="00A840B7">
        <w:tc>
          <w:tcPr>
            <w:tcW w:w="1560" w:type="dxa"/>
          </w:tcPr>
          <w:p w14:paraId="07FA9025" w14:textId="6E157CBD" w:rsidR="0056239F" w:rsidRDefault="0056239F" w:rsidP="0056239F">
            <w:pPr>
              <w:rPr>
                <w:rFonts w:cstheme="minorHAnsi"/>
              </w:rPr>
            </w:pPr>
            <w:r>
              <w:rPr>
                <w:rFonts w:cstheme="minorHAnsi"/>
              </w:rPr>
              <w:t>1245 – 1400</w:t>
            </w:r>
          </w:p>
          <w:p w14:paraId="38823EEC" w14:textId="25E80FA9" w:rsidR="0056239F" w:rsidRDefault="0056239F" w:rsidP="0056239F">
            <w:pPr>
              <w:rPr>
                <w:rFonts w:cstheme="minorHAnsi"/>
              </w:rPr>
            </w:pPr>
            <w:r>
              <w:rPr>
                <w:rFonts w:cstheme="minorHAnsi"/>
              </w:rPr>
              <w:t>(1 hr 15 mins)</w:t>
            </w:r>
          </w:p>
        </w:tc>
        <w:tc>
          <w:tcPr>
            <w:tcW w:w="5103" w:type="dxa"/>
          </w:tcPr>
          <w:p w14:paraId="1DB2C370" w14:textId="3093E130" w:rsidR="0056239F" w:rsidRDefault="0056239F" w:rsidP="0056239F">
            <w:pPr>
              <w:rPr>
                <w:b/>
                <w:lang w:val="en-GB"/>
              </w:rPr>
            </w:pPr>
            <w:r>
              <w:rPr>
                <w:b/>
                <w:lang w:val="en-GB"/>
              </w:rPr>
              <w:t xml:space="preserve">Session 3: </w:t>
            </w:r>
            <w:r w:rsidRPr="005279FA">
              <w:rPr>
                <w:b/>
                <w:lang w:val="en-GB"/>
              </w:rPr>
              <w:t>Rules applying to the determination of injury and causal link</w:t>
            </w:r>
          </w:p>
          <w:p w14:paraId="6E0071BB" w14:textId="77777777" w:rsidR="0056239F" w:rsidRPr="005279FA" w:rsidRDefault="0056239F" w:rsidP="0056239F">
            <w:pPr>
              <w:rPr>
                <w:lang w:val="en-GB"/>
              </w:rPr>
            </w:pPr>
            <w:r w:rsidRPr="005279FA">
              <w:rPr>
                <w:lang w:val="en-GB"/>
              </w:rPr>
              <w:t>Explanation of core principles outlined in the Anti-Dumping Agreement:</w:t>
            </w:r>
          </w:p>
          <w:p w14:paraId="22180F2B" w14:textId="77777777" w:rsidR="0056239F" w:rsidRPr="005279FA" w:rsidRDefault="0056239F" w:rsidP="0056239F">
            <w:pPr>
              <w:pStyle w:val="ListParagraph"/>
              <w:numPr>
                <w:ilvl w:val="0"/>
                <w:numId w:val="16"/>
              </w:numPr>
              <w:ind w:left="604" w:hanging="283"/>
              <w:jc w:val="both"/>
              <w:rPr>
                <w:lang w:val="en-GB"/>
              </w:rPr>
            </w:pPr>
            <w:r w:rsidRPr="005279FA">
              <w:rPr>
                <w:lang w:val="en-GB"/>
              </w:rPr>
              <w:t>Definition of the domestic industry</w:t>
            </w:r>
          </w:p>
          <w:p w14:paraId="100A9E65" w14:textId="77777777" w:rsidR="0056239F" w:rsidRPr="005279FA" w:rsidRDefault="0056239F" w:rsidP="0056239F">
            <w:pPr>
              <w:pStyle w:val="ListParagraph"/>
              <w:numPr>
                <w:ilvl w:val="0"/>
                <w:numId w:val="16"/>
              </w:numPr>
              <w:ind w:left="604" w:hanging="283"/>
              <w:jc w:val="both"/>
              <w:rPr>
                <w:lang w:val="en-GB"/>
              </w:rPr>
            </w:pPr>
            <w:r w:rsidRPr="005279FA">
              <w:rPr>
                <w:lang w:val="en-GB"/>
              </w:rPr>
              <w:t>Mandatory injury factors and their role</w:t>
            </w:r>
          </w:p>
          <w:p w14:paraId="026B3DE5" w14:textId="77777777" w:rsidR="0056239F" w:rsidRPr="005279FA" w:rsidRDefault="0056239F" w:rsidP="0056239F">
            <w:pPr>
              <w:pStyle w:val="ListParagraph"/>
              <w:numPr>
                <w:ilvl w:val="0"/>
                <w:numId w:val="16"/>
              </w:numPr>
              <w:ind w:left="604" w:hanging="283"/>
              <w:jc w:val="both"/>
              <w:rPr>
                <w:lang w:val="en-GB"/>
              </w:rPr>
            </w:pPr>
            <w:r w:rsidRPr="005279FA">
              <w:rPr>
                <w:lang w:val="en-GB"/>
              </w:rPr>
              <w:t>Price effects analysis</w:t>
            </w:r>
          </w:p>
          <w:p w14:paraId="67322C51" w14:textId="77777777" w:rsidR="0056239F" w:rsidRPr="005279FA" w:rsidRDefault="0056239F" w:rsidP="0056239F">
            <w:pPr>
              <w:pStyle w:val="ListParagraph"/>
              <w:numPr>
                <w:ilvl w:val="0"/>
                <w:numId w:val="16"/>
              </w:numPr>
              <w:ind w:left="604" w:hanging="283"/>
              <w:jc w:val="both"/>
              <w:rPr>
                <w:lang w:val="en-GB"/>
              </w:rPr>
            </w:pPr>
            <w:r w:rsidRPr="005279FA">
              <w:rPr>
                <w:lang w:val="en-GB"/>
              </w:rPr>
              <w:t xml:space="preserve">The non-attribution requirement </w:t>
            </w:r>
          </w:p>
          <w:p w14:paraId="77B4C8E2" w14:textId="03A67EF0" w:rsidR="0056239F" w:rsidRPr="00D07BEE" w:rsidRDefault="0056239F" w:rsidP="0056239F">
            <w:pPr>
              <w:pStyle w:val="ListParagraph"/>
              <w:spacing w:after="160" w:line="259" w:lineRule="auto"/>
              <w:ind w:left="360"/>
              <w:rPr>
                <w:rFonts w:cstheme="minorHAnsi"/>
                <w:bCs/>
                <w:lang w:val="en-US"/>
              </w:rPr>
            </w:pPr>
          </w:p>
        </w:tc>
        <w:tc>
          <w:tcPr>
            <w:tcW w:w="2835" w:type="dxa"/>
          </w:tcPr>
          <w:p w14:paraId="0ADB0D20" w14:textId="77777777" w:rsidR="0056239F" w:rsidRDefault="0056239F" w:rsidP="0056239F">
            <w:pPr>
              <w:rPr>
                <w:rFonts w:cstheme="minorHAnsi"/>
              </w:rPr>
            </w:pPr>
            <w:r w:rsidRPr="000B478D">
              <w:rPr>
                <w:rFonts w:cstheme="minorHAnsi"/>
              </w:rPr>
              <w:t xml:space="preserve">-Mr Paul Piquado, </w:t>
            </w:r>
          </w:p>
          <w:p w14:paraId="10934C1C" w14:textId="77777777" w:rsidR="0056239F" w:rsidRDefault="0056239F" w:rsidP="0056239F">
            <w:pPr>
              <w:rPr>
                <w:rFonts w:cstheme="minorHAnsi"/>
              </w:rPr>
            </w:pPr>
            <w:r w:rsidRPr="000B478D">
              <w:rPr>
                <w:rFonts w:cstheme="minorHAnsi"/>
              </w:rPr>
              <w:t>Counsellor and Senior Lawyer, Rules Division, WTO</w:t>
            </w:r>
          </w:p>
          <w:p w14:paraId="7DDB8C95" w14:textId="77777777" w:rsidR="0056239F" w:rsidRDefault="0056239F" w:rsidP="0056239F">
            <w:pPr>
              <w:rPr>
                <w:rFonts w:cstheme="minorHAnsi"/>
              </w:rPr>
            </w:pPr>
          </w:p>
          <w:p w14:paraId="6AAD3C18" w14:textId="77777777" w:rsidR="0056239F" w:rsidRPr="000B478D" w:rsidRDefault="0056239F" w:rsidP="0056239F">
            <w:pPr>
              <w:rPr>
                <w:rFonts w:cstheme="minorHAnsi"/>
              </w:rPr>
            </w:pPr>
            <w:r>
              <w:rPr>
                <w:rFonts w:cstheme="minorHAnsi"/>
              </w:rPr>
              <w:t>-</w:t>
            </w:r>
            <w:r w:rsidRPr="000B478D">
              <w:rPr>
                <w:rFonts w:cstheme="minorHAnsi"/>
              </w:rPr>
              <w:t>Mr Seref Gokay Coskun, Counsellor, Rules Division, WTO</w:t>
            </w:r>
          </w:p>
          <w:p w14:paraId="6D8B8E8B" w14:textId="418608A3" w:rsidR="0056239F" w:rsidRPr="008D5211" w:rsidRDefault="0056239F" w:rsidP="0056239F">
            <w:pPr>
              <w:rPr>
                <w:rFonts w:cstheme="minorHAnsi"/>
              </w:rPr>
            </w:pPr>
          </w:p>
        </w:tc>
      </w:tr>
      <w:tr w:rsidR="0056239F" w:rsidRPr="008D5211" w14:paraId="38CEC9B9" w14:textId="77777777" w:rsidTr="008024CF">
        <w:tc>
          <w:tcPr>
            <w:tcW w:w="9498" w:type="dxa"/>
            <w:gridSpan w:val="3"/>
            <w:shd w:val="clear" w:color="auto" w:fill="171717" w:themeFill="background2" w:themeFillShade="1A"/>
          </w:tcPr>
          <w:p w14:paraId="147DCA83" w14:textId="1E645165" w:rsidR="0056239F" w:rsidRPr="008D5211" w:rsidRDefault="0056239F" w:rsidP="0056239F">
            <w:pPr>
              <w:rPr>
                <w:rFonts w:cstheme="minorHAnsi"/>
              </w:rPr>
            </w:pPr>
            <w:r w:rsidRPr="00B67A54">
              <w:rPr>
                <w:rFonts w:cstheme="minorHAnsi"/>
                <w:b/>
                <w:bCs/>
                <w:color w:val="FFFFFF" w:themeColor="background1"/>
                <w:sz w:val="24"/>
                <w:szCs w:val="24"/>
              </w:rPr>
              <w:t xml:space="preserve">Day 2: </w:t>
            </w:r>
            <w:r>
              <w:rPr>
                <w:rFonts w:cstheme="minorHAnsi"/>
                <w:b/>
                <w:bCs/>
                <w:color w:val="FFFFFF" w:themeColor="background1"/>
                <w:sz w:val="24"/>
                <w:szCs w:val="24"/>
              </w:rPr>
              <w:t>(0800-1400)</w:t>
            </w:r>
          </w:p>
        </w:tc>
      </w:tr>
      <w:tr w:rsidR="0056239F" w:rsidRPr="008D5211" w14:paraId="7C2A0273" w14:textId="77777777" w:rsidTr="00A840B7">
        <w:tc>
          <w:tcPr>
            <w:tcW w:w="1560" w:type="dxa"/>
          </w:tcPr>
          <w:p w14:paraId="466182AE" w14:textId="7E991BFE" w:rsidR="0056239F" w:rsidRDefault="0056239F" w:rsidP="0056239F">
            <w:pPr>
              <w:rPr>
                <w:rFonts w:cstheme="minorHAnsi"/>
              </w:rPr>
            </w:pPr>
            <w:r>
              <w:rPr>
                <w:rFonts w:cstheme="minorHAnsi"/>
              </w:rPr>
              <w:t>0800 – 0845</w:t>
            </w:r>
          </w:p>
          <w:p w14:paraId="70705333" w14:textId="6362C3C6" w:rsidR="0056239F" w:rsidRPr="008D5211" w:rsidRDefault="0056239F" w:rsidP="0056239F">
            <w:pPr>
              <w:rPr>
                <w:rFonts w:cstheme="minorHAnsi"/>
              </w:rPr>
            </w:pPr>
            <w:r>
              <w:rPr>
                <w:rFonts w:cstheme="minorHAnsi"/>
              </w:rPr>
              <w:t>(45 mins)</w:t>
            </w:r>
          </w:p>
        </w:tc>
        <w:tc>
          <w:tcPr>
            <w:tcW w:w="5103" w:type="dxa"/>
          </w:tcPr>
          <w:p w14:paraId="2034C72A" w14:textId="5D22E18C" w:rsidR="0056239F" w:rsidRPr="00064E74" w:rsidRDefault="0056239F" w:rsidP="0056239F">
            <w:pPr>
              <w:rPr>
                <w:rFonts w:cstheme="minorHAnsi"/>
                <w:b/>
                <w:bCs/>
                <w:lang w:val="en-US"/>
              </w:rPr>
            </w:pPr>
            <w:r w:rsidRPr="00064E74">
              <w:rPr>
                <w:rFonts w:cs="Times New Roman"/>
                <w:b/>
                <w:bCs/>
                <w:lang w:val="en-GB"/>
              </w:rPr>
              <w:t>Recapitulation of knowledge received during the previous day</w:t>
            </w:r>
            <w:r>
              <w:rPr>
                <w:rFonts w:cs="Times New Roman"/>
                <w:b/>
                <w:bCs/>
                <w:lang w:val="en-GB"/>
              </w:rPr>
              <w:t xml:space="preserve"> – Q&amp;A</w:t>
            </w:r>
          </w:p>
        </w:tc>
        <w:tc>
          <w:tcPr>
            <w:tcW w:w="2835" w:type="dxa"/>
          </w:tcPr>
          <w:p w14:paraId="41A61090" w14:textId="77777777" w:rsidR="0056239F" w:rsidRDefault="0056239F" w:rsidP="0056239F">
            <w:pPr>
              <w:rPr>
                <w:rFonts w:cstheme="minorHAnsi"/>
              </w:rPr>
            </w:pPr>
            <w:r w:rsidRPr="000B478D">
              <w:rPr>
                <w:rFonts w:cstheme="minorHAnsi"/>
              </w:rPr>
              <w:t xml:space="preserve">-Mr Paul Piquado, </w:t>
            </w:r>
          </w:p>
          <w:p w14:paraId="1AD62F18" w14:textId="77777777" w:rsidR="0056239F" w:rsidRDefault="0056239F" w:rsidP="0056239F">
            <w:pPr>
              <w:rPr>
                <w:rFonts w:cstheme="minorHAnsi"/>
              </w:rPr>
            </w:pPr>
            <w:r w:rsidRPr="000B478D">
              <w:rPr>
                <w:rFonts w:cstheme="minorHAnsi"/>
              </w:rPr>
              <w:t>Counsellor and Senior Lawyer, Rules Division, WTO</w:t>
            </w:r>
          </w:p>
          <w:p w14:paraId="25D969D6" w14:textId="77777777" w:rsidR="0056239F" w:rsidRDefault="0056239F" w:rsidP="0056239F">
            <w:pPr>
              <w:rPr>
                <w:rFonts w:cstheme="minorHAnsi"/>
              </w:rPr>
            </w:pPr>
          </w:p>
          <w:p w14:paraId="20BE0079" w14:textId="77777777" w:rsidR="0056239F" w:rsidRPr="000B478D" w:rsidRDefault="0056239F" w:rsidP="0056239F">
            <w:pPr>
              <w:rPr>
                <w:rFonts w:cstheme="minorHAnsi"/>
              </w:rPr>
            </w:pPr>
            <w:r>
              <w:rPr>
                <w:rFonts w:cstheme="minorHAnsi"/>
              </w:rPr>
              <w:t>-</w:t>
            </w:r>
            <w:r w:rsidRPr="000B478D">
              <w:rPr>
                <w:rFonts w:cstheme="minorHAnsi"/>
              </w:rPr>
              <w:t>Mr Seref Gokay Coskun, Counsellor, Rules Division, WTO</w:t>
            </w:r>
          </w:p>
          <w:p w14:paraId="23C94A09" w14:textId="25657E2B" w:rsidR="0056239F" w:rsidRPr="008D5211" w:rsidRDefault="0056239F" w:rsidP="0056239F">
            <w:pPr>
              <w:rPr>
                <w:rFonts w:cstheme="minorHAnsi"/>
              </w:rPr>
            </w:pPr>
          </w:p>
        </w:tc>
      </w:tr>
      <w:tr w:rsidR="0056239F" w:rsidRPr="008D5211" w14:paraId="5C18D2DA" w14:textId="77777777" w:rsidTr="00A840B7">
        <w:tc>
          <w:tcPr>
            <w:tcW w:w="1560" w:type="dxa"/>
          </w:tcPr>
          <w:p w14:paraId="50F34EDA" w14:textId="70B6CCA3" w:rsidR="0056239F" w:rsidRDefault="0056239F" w:rsidP="0056239F">
            <w:pPr>
              <w:rPr>
                <w:rFonts w:cstheme="minorHAnsi"/>
              </w:rPr>
            </w:pPr>
            <w:r>
              <w:rPr>
                <w:rFonts w:cstheme="minorHAnsi"/>
              </w:rPr>
              <w:t>0845-</w:t>
            </w:r>
            <w:r w:rsidR="00EE0802">
              <w:rPr>
                <w:rFonts w:cstheme="minorHAnsi"/>
              </w:rPr>
              <w:t>1000</w:t>
            </w:r>
          </w:p>
          <w:p w14:paraId="5F8D1645" w14:textId="6BF91D8B" w:rsidR="0056239F" w:rsidRDefault="0056239F" w:rsidP="0056239F">
            <w:pPr>
              <w:rPr>
                <w:rFonts w:cstheme="minorHAnsi"/>
              </w:rPr>
            </w:pPr>
            <w:r>
              <w:rPr>
                <w:rFonts w:cstheme="minorHAnsi"/>
              </w:rPr>
              <w:t>(1hr 15 mins)</w:t>
            </w:r>
          </w:p>
        </w:tc>
        <w:tc>
          <w:tcPr>
            <w:tcW w:w="5103" w:type="dxa"/>
          </w:tcPr>
          <w:p w14:paraId="08366551" w14:textId="77777777" w:rsidR="00EE0802" w:rsidRPr="00064E74" w:rsidRDefault="00EE0802" w:rsidP="00EE0802">
            <w:pPr>
              <w:rPr>
                <w:b/>
                <w:lang w:val="en-GB"/>
              </w:rPr>
            </w:pPr>
            <w:r w:rsidRPr="00064E74">
              <w:rPr>
                <w:b/>
                <w:lang w:val="en-GB"/>
              </w:rPr>
              <w:t>Exercises, group work (injury and causal link)</w:t>
            </w:r>
          </w:p>
          <w:p w14:paraId="29D98DBF" w14:textId="77777777" w:rsidR="00EE0802" w:rsidRPr="00064E74" w:rsidRDefault="00EE0802" w:rsidP="00EE0802">
            <w:pPr>
              <w:ind w:left="34"/>
              <w:rPr>
                <w:lang w:val="en-GB"/>
              </w:rPr>
            </w:pPr>
            <w:r w:rsidRPr="00064E74">
              <w:rPr>
                <w:lang w:val="en-GB"/>
              </w:rPr>
              <w:t>Analysis of a hypothetical case to determine the existence of injury/causal link</w:t>
            </w:r>
          </w:p>
          <w:p w14:paraId="429C4396" w14:textId="77777777" w:rsidR="0056239F" w:rsidRPr="00064E74" w:rsidRDefault="0056239F" w:rsidP="0056239F">
            <w:pPr>
              <w:rPr>
                <w:rFonts w:cs="Times New Roman"/>
                <w:b/>
                <w:bCs/>
                <w:lang w:val="en-GB"/>
              </w:rPr>
            </w:pPr>
          </w:p>
        </w:tc>
        <w:tc>
          <w:tcPr>
            <w:tcW w:w="2835" w:type="dxa"/>
          </w:tcPr>
          <w:p w14:paraId="7FD9A841" w14:textId="77777777" w:rsidR="0056239F" w:rsidRPr="000B478D" w:rsidRDefault="0056239F" w:rsidP="00EE0802">
            <w:pPr>
              <w:rPr>
                <w:rFonts w:cstheme="minorHAnsi"/>
              </w:rPr>
            </w:pPr>
          </w:p>
        </w:tc>
      </w:tr>
      <w:tr w:rsidR="0056239F" w:rsidRPr="008D5211" w14:paraId="4197AE64" w14:textId="77777777" w:rsidTr="00A840B7">
        <w:tc>
          <w:tcPr>
            <w:tcW w:w="1560" w:type="dxa"/>
          </w:tcPr>
          <w:p w14:paraId="150E4D14" w14:textId="33D27AB2" w:rsidR="0056239F" w:rsidRDefault="0056239F" w:rsidP="0056239F">
            <w:pPr>
              <w:rPr>
                <w:rFonts w:cstheme="minorHAnsi"/>
              </w:rPr>
            </w:pPr>
            <w:r>
              <w:rPr>
                <w:rFonts w:cstheme="minorHAnsi"/>
              </w:rPr>
              <w:t>1000-1030</w:t>
            </w:r>
          </w:p>
          <w:p w14:paraId="7FFB812E" w14:textId="46DBDB06" w:rsidR="0056239F" w:rsidRDefault="0056239F" w:rsidP="0056239F">
            <w:pPr>
              <w:rPr>
                <w:rFonts w:cstheme="minorHAnsi"/>
              </w:rPr>
            </w:pPr>
            <w:r>
              <w:rPr>
                <w:rFonts w:cstheme="minorHAnsi"/>
              </w:rPr>
              <w:t>(30 mins)</w:t>
            </w:r>
          </w:p>
        </w:tc>
        <w:tc>
          <w:tcPr>
            <w:tcW w:w="5103" w:type="dxa"/>
          </w:tcPr>
          <w:p w14:paraId="2E35F289" w14:textId="77777777" w:rsidR="0056239F" w:rsidRDefault="0056239F" w:rsidP="0056239F">
            <w:pPr>
              <w:jc w:val="center"/>
              <w:rPr>
                <w:rFonts w:eastAsia="Malgun Gothic" w:cstheme="minorHAnsi"/>
                <w:b/>
                <w:color w:val="4472C4" w:themeColor="accent1"/>
                <w:kern w:val="2"/>
                <w:lang w:val="en-US" w:eastAsia="ko-KR"/>
              </w:rPr>
            </w:pPr>
            <w:r>
              <w:rPr>
                <w:rFonts w:eastAsia="Malgun Gothic" w:cstheme="minorHAnsi"/>
                <w:b/>
                <w:color w:val="4472C4" w:themeColor="accent1"/>
                <w:kern w:val="2"/>
                <w:lang w:val="en-US" w:eastAsia="ko-KR"/>
              </w:rPr>
              <w:t xml:space="preserve">COFFEE BREAK </w:t>
            </w:r>
          </w:p>
          <w:p w14:paraId="6E97BFF6" w14:textId="77777777" w:rsidR="0056239F" w:rsidRDefault="0056239F" w:rsidP="0056239F">
            <w:pPr>
              <w:widowControl w:val="0"/>
              <w:wordWrap w:val="0"/>
              <w:autoSpaceDE w:val="0"/>
              <w:autoSpaceDN w:val="0"/>
              <w:jc w:val="both"/>
              <w:rPr>
                <w:rFonts w:cstheme="minorHAnsi"/>
                <w:b/>
              </w:rPr>
            </w:pPr>
          </w:p>
        </w:tc>
        <w:tc>
          <w:tcPr>
            <w:tcW w:w="2835" w:type="dxa"/>
          </w:tcPr>
          <w:p w14:paraId="4EAC431E" w14:textId="77777777" w:rsidR="0056239F" w:rsidRPr="000B478D" w:rsidRDefault="0056239F" w:rsidP="0056239F">
            <w:pPr>
              <w:rPr>
                <w:rFonts w:cstheme="minorHAnsi"/>
              </w:rPr>
            </w:pPr>
          </w:p>
        </w:tc>
      </w:tr>
      <w:tr w:rsidR="0056239F" w:rsidRPr="008D5211" w14:paraId="6768264B" w14:textId="77777777" w:rsidTr="00A840B7">
        <w:tc>
          <w:tcPr>
            <w:tcW w:w="1560" w:type="dxa"/>
          </w:tcPr>
          <w:p w14:paraId="282E2AE0" w14:textId="60B6C2E5" w:rsidR="0056239F" w:rsidRDefault="0056239F" w:rsidP="0056239F">
            <w:pPr>
              <w:rPr>
                <w:rFonts w:cstheme="minorHAnsi"/>
              </w:rPr>
            </w:pPr>
            <w:r>
              <w:rPr>
                <w:rFonts w:cstheme="minorHAnsi"/>
              </w:rPr>
              <w:t>1030-11</w:t>
            </w:r>
            <w:r w:rsidR="00EE0802">
              <w:rPr>
                <w:rFonts w:cstheme="minorHAnsi"/>
              </w:rPr>
              <w:t>30</w:t>
            </w:r>
          </w:p>
          <w:p w14:paraId="058D525A" w14:textId="44DD860C" w:rsidR="0056239F" w:rsidRDefault="0056239F" w:rsidP="0056239F">
            <w:pPr>
              <w:rPr>
                <w:rFonts w:cstheme="minorHAnsi"/>
              </w:rPr>
            </w:pPr>
            <w:r>
              <w:rPr>
                <w:rFonts w:cstheme="minorHAnsi"/>
              </w:rPr>
              <w:t>(</w:t>
            </w:r>
            <w:r w:rsidR="00EE0802">
              <w:rPr>
                <w:rFonts w:cstheme="minorHAnsi"/>
              </w:rPr>
              <w:t>1 hr</w:t>
            </w:r>
            <w:r>
              <w:rPr>
                <w:rFonts w:cstheme="minorHAnsi"/>
              </w:rPr>
              <w:t>)</w:t>
            </w:r>
          </w:p>
        </w:tc>
        <w:tc>
          <w:tcPr>
            <w:tcW w:w="5103" w:type="dxa"/>
          </w:tcPr>
          <w:p w14:paraId="22BF0A11" w14:textId="77777777" w:rsidR="0056239F" w:rsidRDefault="00EE0802" w:rsidP="00EE0802">
            <w:pPr>
              <w:ind w:left="34"/>
              <w:rPr>
                <w:rFonts w:cstheme="minorHAnsi"/>
                <w:b/>
              </w:rPr>
            </w:pPr>
            <w:r>
              <w:rPr>
                <w:rFonts w:cstheme="minorHAnsi"/>
                <w:b/>
              </w:rPr>
              <w:t>Session 4: Application, expiry and review of AD Duties</w:t>
            </w:r>
          </w:p>
          <w:p w14:paraId="3EC3D96A" w14:textId="77777777" w:rsidR="00EE0802" w:rsidRPr="00EE0802" w:rsidRDefault="00EE0802" w:rsidP="00EE0802">
            <w:pPr>
              <w:numPr>
                <w:ilvl w:val="1"/>
                <w:numId w:val="15"/>
              </w:numPr>
              <w:ind w:left="461" w:hanging="425"/>
              <w:rPr>
                <w:rFonts w:eastAsia="Malgun Gothic" w:cstheme="minorHAnsi"/>
                <w:b/>
                <w:color w:val="4472C4" w:themeColor="accent1"/>
                <w:kern w:val="2"/>
                <w:lang w:val="en-GB" w:eastAsia="ko-KR"/>
              </w:rPr>
            </w:pPr>
            <w:r w:rsidRPr="001E0E61">
              <w:rPr>
                <w:rFonts w:cstheme="minorHAnsi"/>
                <w:lang w:val="en-US"/>
              </w:rPr>
              <w:t>Anticircumvention</w:t>
            </w:r>
          </w:p>
          <w:p w14:paraId="2BF064A5" w14:textId="77777777" w:rsidR="00EE0802" w:rsidRPr="00EE0802" w:rsidRDefault="00EE0802" w:rsidP="00EE0802">
            <w:pPr>
              <w:numPr>
                <w:ilvl w:val="1"/>
                <w:numId w:val="15"/>
              </w:numPr>
              <w:ind w:left="461" w:hanging="425"/>
              <w:rPr>
                <w:rFonts w:eastAsia="Malgun Gothic" w:cstheme="minorHAnsi"/>
                <w:b/>
                <w:color w:val="4472C4" w:themeColor="accent1"/>
                <w:kern w:val="2"/>
                <w:lang w:val="en-GB" w:eastAsia="ko-KR"/>
              </w:rPr>
            </w:pPr>
            <w:r>
              <w:rPr>
                <w:rFonts w:cstheme="minorHAnsi"/>
                <w:lang w:val="en-US"/>
              </w:rPr>
              <w:t>Interim reviews</w:t>
            </w:r>
          </w:p>
          <w:p w14:paraId="4051DD84" w14:textId="77777777" w:rsidR="00EE0802" w:rsidRPr="00EE0802" w:rsidRDefault="00EE0802" w:rsidP="00EE0802">
            <w:pPr>
              <w:numPr>
                <w:ilvl w:val="1"/>
                <w:numId w:val="15"/>
              </w:numPr>
              <w:ind w:left="461" w:hanging="425"/>
              <w:rPr>
                <w:rFonts w:eastAsia="Malgun Gothic" w:cstheme="minorHAnsi"/>
                <w:b/>
                <w:color w:val="4472C4" w:themeColor="accent1"/>
                <w:kern w:val="2"/>
                <w:lang w:val="en-GB" w:eastAsia="ko-KR"/>
              </w:rPr>
            </w:pPr>
            <w:r>
              <w:rPr>
                <w:rFonts w:cstheme="minorHAnsi"/>
                <w:lang w:val="en-US"/>
              </w:rPr>
              <w:t>Expiry reviews</w:t>
            </w:r>
          </w:p>
          <w:p w14:paraId="199CF993" w14:textId="3F60C638" w:rsidR="00EE0802" w:rsidRPr="00064E74" w:rsidRDefault="00EE0802" w:rsidP="00EE0802">
            <w:pPr>
              <w:ind w:left="461"/>
              <w:rPr>
                <w:rFonts w:eastAsia="Malgun Gothic" w:cstheme="minorHAnsi"/>
                <w:b/>
                <w:color w:val="4472C4" w:themeColor="accent1"/>
                <w:kern w:val="2"/>
                <w:lang w:val="en-GB" w:eastAsia="ko-KR"/>
              </w:rPr>
            </w:pPr>
          </w:p>
        </w:tc>
        <w:tc>
          <w:tcPr>
            <w:tcW w:w="2835" w:type="dxa"/>
          </w:tcPr>
          <w:p w14:paraId="6C84DA50" w14:textId="77777777" w:rsidR="00EE0802" w:rsidRDefault="00EE0802" w:rsidP="00EE0802">
            <w:pPr>
              <w:rPr>
                <w:rFonts w:cstheme="minorHAnsi"/>
              </w:rPr>
            </w:pPr>
            <w:r w:rsidRPr="000B478D">
              <w:rPr>
                <w:rFonts w:cstheme="minorHAnsi"/>
              </w:rPr>
              <w:t xml:space="preserve">-Mr Paul Piquado, </w:t>
            </w:r>
          </w:p>
          <w:p w14:paraId="3FB825C0" w14:textId="77777777" w:rsidR="00EE0802" w:rsidRDefault="00EE0802" w:rsidP="00EE0802">
            <w:pPr>
              <w:rPr>
                <w:rFonts w:cstheme="minorHAnsi"/>
              </w:rPr>
            </w:pPr>
            <w:r w:rsidRPr="000B478D">
              <w:rPr>
                <w:rFonts w:cstheme="minorHAnsi"/>
              </w:rPr>
              <w:t>Counsellor and Senior Lawyer, Rules Division, WTO</w:t>
            </w:r>
          </w:p>
          <w:p w14:paraId="168D05CD" w14:textId="77777777" w:rsidR="00EE0802" w:rsidRDefault="00EE0802" w:rsidP="00EE0802">
            <w:pPr>
              <w:rPr>
                <w:rFonts w:cstheme="minorHAnsi"/>
              </w:rPr>
            </w:pPr>
          </w:p>
          <w:p w14:paraId="3B245527" w14:textId="77777777" w:rsidR="00EE0802" w:rsidRPr="000B478D" w:rsidRDefault="00EE0802" w:rsidP="00EE0802">
            <w:pPr>
              <w:rPr>
                <w:rFonts w:cstheme="minorHAnsi"/>
              </w:rPr>
            </w:pPr>
            <w:r>
              <w:rPr>
                <w:rFonts w:cstheme="minorHAnsi"/>
              </w:rPr>
              <w:t>-</w:t>
            </w:r>
            <w:r w:rsidRPr="000B478D">
              <w:rPr>
                <w:rFonts w:cstheme="minorHAnsi"/>
              </w:rPr>
              <w:t>Mr Seref Gokay Coskun, Counsellor, Rules Division, WTO</w:t>
            </w:r>
          </w:p>
          <w:p w14:paraId="361F3CB1" w14:textId="77777777" w:rsidR="0056239F" w:rsidRPr="000B478D" w:rsidRDefault="0056239F" w:rsidP="0056239F">
            <w:pPr>
              <w:rPr>
                <w:rFonts w:cstheme="minorHAnsi"/>
              </w:rPr>
            </w:pPr>
          </w:p>
        </w:tc>
      </w:tr>
      <w:tr w:rsidR="00EE0802" w:rsidRPr="008D5211" w14:paraId="46CD7203" w14:textId="77777777" w:rsidTr="00A840B7">
        <w:tc>
          <w:tcPr>
            <w:tcW w:w="1560" w:type="dxa"/>
          </w:tcPr>
          <w:p w14:paraId="72DBA299" w14:textId="27CB5E59" w:rsidR="00EE0802" w:rsidRDefault="00EE0802" w:rsidP="0056239F">
            <w:pPr>
              <w:rPr>
                <w:rFonts w:cstheme="minorHAnsi"/>
              </w:rPr>
            </w:pPr>
            <w:r>
              <w:rPr>
                <w:rFonts w:cstheme="minorHAnsi"/>
              </w:rPr>
              <w:t>1130 – 1215</w:t>
            </w:r>
          </w:p>
          <w:p w14:paraId="41073CD5" w14:textId="3ADC16BA" w:rsidR="00EE0802" w:rsidRDefault="00EE0802" w:rsidP="0056239F">
            <w:pPr>
              <w:rPr>
                <w:rFonts w:cstheme="minorHAnsi"/>
              </w:rPr>
            </w:pPr>
            <w:r>
              <w:rPr>
                <w:rFonts w:cstheme="minorHAnsi"/>
              </w:rPr>
              <w:t>(45 mins)</w:t>
            </w:r>
          </w:p>
        </w:tc>
        <w:tc>
          <w:tcPr>
            <w:tcW w:w="5103" w:type="dxa"/>
          </w:tcPr>
          <w:p w14:paraId="42CDA5D3" w14:textId="73A7487F" w:rsidR="00EE0802" w:rsidRPr="001E0E61" w:rsidRDefault="00EE0802" w:rsidP="00EE0802">
            <w:pPr>
              <w:rPr>
                <w:rFonts w:cstheme="minorHAnsi"/>
                <w:b/>
                <w:lang w:val="en-GB"/>
              </w:rPr>
            </w:pPr>
            <w:r w:rsidRPr="001E0E61">
              <w:rPr>
                <w:rFonts w:cstheme="minorHAnsi"/>
                <w:b/>
                <w:lang w:val="en-GB"/>
              </w:rPr>
              <w:t xml:space="preserve">Session </w:t>
            </w:r>
            <w:r>
              <w:rPr>
                <w:rFonts w:cstheme="minorHAnsi"/>
                <w:b/>
                <w:lang w:val="en-GB"/>
              </w:rPr>
              <w:t>5</w:t>
            </w:r>
            <w:r w:rsidRPr="001E0E61">
              <w:rPr>
                <w:rFonts w:cstheme="minorHAnsi"/>
                <w:b/>
                <w:lang w:val="en-GB"/>
              </w:rPr>
              <w:t>: The WTO Committee on Anti-Dumping Practices</w:t>
            </w:r>
          </w:p>
          <w:p w14:paraId="665F770D" w14:textId="77777777" w:rsidR="00EE0802" w:rsidRPr="001E0E61" w:rsidRDefault="00EE0802" w:rsidP="00EE0802">
            <w:pPr>
              <w:numPr>
                <w:ilvl w:val="1"/>
                <w:numId w:val="15"/>
              </w:numPr>
              <w:ind w:left="461" w:hanging="425"/>
              <w:rPr>
                <w:rFonts w:cstheme="minorHAnsi"/>
                <w:lang w:val="en-US"/>
              </w:rPr>
            </w:pPr>
            <w:r>
              <w:rPr>
                <w:rFonts w:cstheme="minorHAnsi"/>
                <w:lang w:val="en-US"/>
              </w:rPr>
              <w:t>T</w:t>
            </w:r>
            <w:r w:rsidRPr="001E0E61">
              <w:rPr>
                <w:rFonts w:cstheme="minorHAnsi"/>
                <w:lang w:val="en-US"/>
              </w:rPr>
              <w:t xml:space="preserve">ransparency </w:t>
            </w:r>
            <w:r>
              <w:rPr>
                <w:rFonts w:cstheme="minorHAnsi"/>
                <w:lang w:val="en-US"/>
              </w:rPr>
              <w:t xml:space="preserve">requirements </w:t>
            </w:r>
            <w:r w:rsidRPr="001E0E61">
              <w:rPr>
                <w:rFonts w:cstheme="minorHAnsi"/>
                <w:lang w:val="en-US"/>
              </w:rPr>
              <w:t>and modality of notifications</w:t>
            </w:r>
          </w:p>
          <w:p w14:paraId="77672109" w14:textId="77777777" w:rsidR="00EE0802" w:rsidRDefault="00EE0802" w:rsidP="00EE0802">
            <w:pPr>
              <w:numPr>
                <w:ilvl w:val="1"/>
                <w:numId w:val="15"/>
              </w:numPr>
              <w:ind w:left="461" w:hanging="425"/>
              <w:rPr>
                <w:rFonts w:cstheme="minorHAnsi"/>
                <w:lang w:val="en-US"/>
              </w:rPr>
            </w:pPr>
            <w:r w:rsidRPr="001E0E61">
              <w:rPr>
                <w:rFonts w:cstheme="minorHAnsi"/>
                <w:lang w:val="en-US"/>
              </w:rPr>
              <w:t>The Committee’s ongoing work in facilitating compliance with established rules</w:t>
            </w:r>
          </w:p>
          <w:p w14:paraId="1B222CBF" w14:textId="77777777" w:rsidR="005E1F76" w:rsidRPr="00CA721E" w:rsidRDefault="005E1F76" w:rsidP="005E1F76">
            <w:pPr>
              <w:numPr>
                <w:ilvl w:val="1"/>
                <w:numId w:val="15"/>
              </w:numPr>
              <w:ind w:left="461" w:hanging="425"/>
              <w:rPr>
                <w:rFonts w:cstheme="minorHAnsi"/>
                <w:lang w:val="en-GB"/>
              </w:rPr>
            </w:pPr>
            <w:r>
              <w:rPr>
                <w:rFonts w:cstheme="minorHAnsi"/>
                <w:lang w:val="en-GB"/>
              </w:rPr>
              <w:t>WTO Trade Remedy Data Portal</w:t>
            </w:r>
          </w:p>
          <w:p w14:paraId="4A6B4503" w14:textId="77777777" w:rsidR="00EE0802" w:rsidRPr="000B3D84" w:rsidRDefault="00EE0802" w:rsidP="00EE0802">
            <w:pPr>
              <w:ind w:left="461"/>
              <w:rPr>
                <w:rFonts w:cstheme="minorHAnsi"/>
                <w:lang w:val="en-US"/>
              </w:rPr>
            </w:pPr>
          </w:p>
          <w:p w14:paraId="54710E63" w14:textId="77777777" w:rsidR="00EE0802" w:rsidRDefault="00EE0802" w:rsidP="00EE0802">
            <w:pPr>
              <w:ind w:left="34"/>
              <w:rPr>
                <w:rFonts w:cstheme="minorHAnsi"/>
                <w:b/>
                <w:lang w:val="en-GB"/>
              </w:rPr>
            </w:pPr>
            <w:r>
              <w:rPr>
                <w:rFonts w:cstheme="minorHAnsi"/>
                <w:b/>
                <w:lang w:val="en-GB"/>
              </w:rPr>
              <w:t>Q&amp;A/Reflections on Module 2: Anti-Dumping Measures</w:t>
            </w:r>
          </w:p>
          <w:p w14:paraId="4DB58A40" w14:textId="739531E9" w:rsidR="00A9748F" w:rsidRDefault="00A9748F" w:rsidP="00EE0802">
            <w:pPr>
              <w:ind w:left="34"/>
              <w:rPr>
                <w:rFonts w:cstheme="minorHAnsi"/>
                <w:b/>
              </w:rPr>
            </w:pPr>
          </w:p>
        </w:tc>
        <w:tc>
          <w:tcPr>
            <w:tcW w:w="2835" w:type="dxa"/>
          </w:tcPr>
          <w:p w14:paraId="065B5265" w14:textId="77777777" w:rsidR="00EE0802" w:rsidRDefault="00EE0802" w:rsidP="00EE0802">
            <w:pPr>
              <w:rPr>
                <w:rFonts w:cstheme="minorHAnsi"/>
              </w:rPr>
            </w:pPr>
            <w:r w:rsidRPr="000B478D">
              <w:rPr>
                <w:rFonts w:cstheme="minorHAnsi"/>
              </w:rPr>
              <w:t xml:space="preserve">-Mr Paul Piquado, </w:t>
            </w:r>
          </w:p>
          <w:p w14:paraId="7874AFF9" w14:textId="77777777" w:rsidR="00EE0802" w:rsidRDefault="00EE0802" w:rsidP="00EE0802">
            <w:pPr>
              <w:rPr>
                <w:rFonts w:cstheme="minorHAnsi"/>
              </w:rPr>
            </w:pPr>
            <w:r w:rsidRPr="000B478D">
              <w:rPr>
                <w:rFonts w:cstheme="minorHAnsi"/>
              </w:rPr>
              <w:t>Counsellor and Senior Lawyer, Rules Division, WTO</w:t>
            </w:r>
          </w:p>
          <w:p w14:paraId="2F8FE802" w14:textId="77777777" w:rsidR="00EE0802" w:rsidRDefault="00EE0802" w:rsidP="00EE0802">
            <w:pPr>
              <w:rPr>
                <w:rFonts w:cstheme="minorHAnsi"/>
              </w:rPr>
            </w:pPr>
          </w:p>
          <w:p w14:paraId="3EC454A4" w14:textId="77777777" w:rsidR="00EE0802" w:rsidRPr="000B478D" w:rsidRDefault="00EE0802" w:rsidP="00EE0802">
            <w:pPr>
              <w:rPr>
                <w:rFonts w:cstheme="minorHAnsi"/>
              </w:rPr>
            </w:pPr>
            <w:r>
              <w:rPr>
                <w:rFonts w:cstheme="minorHAnsi"/>
              </w:rPr>
              <w:t>-</w:t>
            </w:r>
            <w:r w:rsidRPr="000B478D">
              <w:rPr>
                <w:rFonts w:cstheme="minorHAnsi"/>
              </w:rPr>
              <w:t>Mr Seref Gokay Coskun, Counsellor, Rules Division, WTO</w:t>
            </w:r>
          </w:p>
          <w:p w14:paraId="48858F0B" w14:textId="77777777" w:rsidR="00EE0802" w:rsidRPr="000B478D" w:rsidRDefault="00EE0802" w:rsidP="00EE0802">
            <w:pPr>
              <w:rPr>
                <w:rFonts w:cstheme="minorHAnsi"/>
              </w:rPr>
            </w:pPr>
          </w:p>
        </w:tc>
      </w:tr>
      <w:tr w:rsidR="00EE0802" w:rsidRPr="008D5211" w14:paraId="6A476FD5" w14:textId="77777777" w:rsidTr="00A840B7">
        <w:tc>
          <w:tcPr>
            <w:tcW w:w="1560" w:type="dxa"/>
          </w:tcPr>
          <w:p w14:paraId="2E2E2D91" w14:textId="03D82180" w:rsidR="00EE0802" w:rsidRDefault="00EE0802" w:rsidP="0056239F">
            <w:pPr>
              <w:rPr>
                <w:rFonts w:cstheme="minorHAnsi"/>
              </w:rPr>
            </w:pPr>
            <w:r>
              <w:rPr>
                <w:rFonts w:cstheme="minorHAnsi"/>
              </w:rPr>
              <w:t>1215 – 1230</w:t>
            </w:r>
          </w:p>
          <w:p w14:paraId="5B6BDB5D" w14:textId="43C07EB8" w:rsidR="00EE0802" w:rsidRDefault="00EE0802" w:rsidP="0056239F">
            <w:pPr>
              <w:rPr>
                <w:rFonts w:cstheme="minorHAnsi"/>
              </w:rPr>
            </w:pPr>
            <w:r>
              <w:rPr>
                <w:rFonts w:cstheme="minorHAnsi"/>
              </w:rPr>
              <w:t>(15 mins)</w:t>
            </w:r>
          </w:p>
        </w:tc>
        <w:tc>
          <w:tcPr>
            <w:tcW w:w="5103" w:type="dxa"/>
          </w:tcPr>
          <w:p w14:paraId="4871F2F2" w14:textId="77777777" w:rsidR="00EE0802" w:rsidRDefault="00EE0802" w:rsidP="00EE0802">
            <w:pPr>
              <w:jc w:val="center"/>
              <w:rPr>
                <w:rFonts w:eastAsia="Malgun Gothic" w:cstheme="minorHAnsi"/>
                <w:b/>
                <w:color w:val="4472C4" w:themeColor="accent1"/>
                <w:kern w:val="2"/>
                <w:lang w:val="en-US" w:eastAsia="ko-KR"/>
              </w:rPr>
            </w:pPr>
            <w:r>
              <w:rPr>
                <w:rFonts w:eastAsia="Malgun Gothic" w:cstheme="minorHAnsi"/>
                <w:b/>
                <w:color w:val="4472C4" w:themeColor="accent1"/>
                <w:kern w:val="2"/>
                <w:lang w:val="en-US" w:eastAsia="ko-KR"/>
              </w:rPr>
              <w:t xml:space="preserve">COFFEE BREAK </w:t>
            </w:r>
          </w:p>
          <w:p w14:paraId="53CB66C9" w14:textId="77777777" w:rsidR="00EE0802" w:rsidRPr="001E0E61" w:rsidRDefault="00EE0802" w:rsidP="00EE0802">
            <w:pPr>
              <w:rPr>
                <w:rFonts w:cstheme="minorHAnsi"/>
                <w:b/>
                <w:lang w:val="en-GB"/>
              </w:rPr>
            </w:pPr>
          </w:p>
        </w:tc>
        <w:tc>
          <w:tcPr>
            <w:tcW w:w="2835" w:type="dxa"/>
          </w:tcPr>
          <w:p w14:paraId="491CE12D" w14:textId="77777777" w:rsidR="00EE0802" w:rsidRDefault="00EE0802" w:rsidP="00EE0802">
            <w:pPr>
              <w:rPr>
                <w:rFonts w:cstheme="minorHAnsi"/>
              </w:rPr>
            </w:pPr>
          </w:p>
          <w:p w14:paraId="734F5B50" w14:textId="77777777" w:rsidR="00A9748F" w:rsidRDefault="00A9748F" w:rsidP="00EE0802">
            <w:pPr>
              <w:rPr>
                <w:rFonts w:cstheme="minorHAnsi"/>
              </w:rPr>
            </w:pPr>
          </w:p>
          <w:p w14:paraId="2B6A7325" w14:textId="77777777" w:rsidR="00A9748F" w:rsidRDefault="00A9748F" w:rsidP="00EE0802">
            <w:pPr>
              <w:rPr>
                <w:rFonts w:cstheme="minorHAnsi"/>
              </w:rPr>
            </w:pPr>
          </w:p>
          <w:p w14:paraId="228DE261" w14:textId="77777777" w:rsidR="00A9748F" w:rsidRDefault="00A9748F" w:rsidP="00EE0802">
            <w:pPr>
              <w:rPr>
                <w:rFonts w:cstheme="minorHAnsi"/>
              </w:rPr>
            </w:pPr>
          </w:p>
          <w:p w14:paraId="3D330B5B" w14:textId="77777777" w:rsidR="00A9748F" w:rsidRPr="000B478D" w:rsidRDefault="00A9748F" w:rsidP="00EE0802">
            <w:pPr>
              <w:rPr>
                <w:rFonts w:cstheme="minorHAnsi"/>
              </w:rPr>
            </w:pPr>
          </w:p>
        </w:tc>
      </w:tr>
      <w:tr w:rsidR="005E1F76" w:rsidRPr="008D5211" w14:paraId="1B55D055" w14:textId="77777777" w:rsidTr="008024CF">
        <w:tc>
          <w:tcPr>
            <w:tcW w:w="9498" w:type="dxa"/>
            <w:gridSpan w:val="3"/>
            <w:shd w:val="clear" w:color="auto" w:fill="B4C6E7" w:themeFill="accent1" w:themeFillTint="66"/>
          </w:tcPr>
          <w:p w14:paraId="02ACBF8C" w14:textId="77777777" w:rsidR="005E1F76" w:rsidRDefault="005E1F76" w:rsidP="008024CF">
            <w:pPr>
              <w:rPr>
                <w:rFonts w:cstheme="minorHAnsi"/>
                <w:b/>
                <w:color w:val="000000" w:themeColor="text1"/>
              </w:rPr>
            </w:pPr>
            <w:r w:rsidRPr="00D0533A">
              <w:rPr>
                <w:rFonts w:cstheme="minorHAnsi"/>
                <w:b/>
                <w:color w:val="000000" w:themeColor="text1"/>
              </w:rPr>
              <w:lastRenderedPageBreak/>
              <w:t>MODULE 3: SUBSIDY DISCIPLINES AND RECOURSE IN WTO</w:t>
            </w:r>
          </w:p>
          <w:p w14:paraId="383D1B87" w14:textId="4D5A8382" w:rsidR="005E1F76" w:rsidRPr="008D5211" w:rsidRDefault="005E1F76" w:rsidP="008024CF">
            <w:pPr>
              <w:jc w:val="both"/>
              <w:rPr>
                <w:rFonts w:cstheme="minorHAnsi"/>
              </w:rPr>
            </w:pPr>
            <w:r w:rsidRPr="00AD2D46">
              <w:rPr>
                <w:rFonts w:cstheme="minorHAnsi"/>
                <w:bCs/>
                <w:i/>
                <w:iCs/>
                <w:color w:val="000000" w:themeColor="text1"/>
              </w:rPr>
              <w:t xml:space="preserve">This module </w:t>
            </w:r>
            <w:r>
              <w:rPr>
                <w:rFonts w:cstheme="minorHAnsi"/>
                <w:bCs/>
                <w:i/>
                <w:iCs/>
                <w:color w:val="000000" w:themeColor="text1"/>
              </w:rPr>
              <w:t>reviews the key elements of the</w:t>
            </w:r>
            <w:r w:rsidRPr="00AD2D46">
              <w:rPr>
                <w:rFonts w:cstheme="minorHAnsi"/>
                <w:bCs/>
                <w:i/>
                <w:iCs/>
                <w:color w:val="000000" w:themeColor="text1"/>
              </w:rPr>
              <w:t xml:space="preserve"> Agreement on Subsidies and Countervailing Measures (ASCM).</w:t>
            </w:r>
            <w:r w:rsidRPr="00AD2D46">
              <w:rPr>
                <w:bCs/>
                <w:i/>
                <w:iCs/>
              </w:rPr>
              <w:t xml:space="preserve"> </w:t>
            </w:r>
            <w:r w:rsidRPr="00AD2D46">
              <w:rPr>
                <w:rFonts w:cstheme="minorHAnsi"/>
                <w:bCs/>
                <w:i/>
                <w:iCs/>
                <w:color w:val="000000" w:themeColor="text1"/>
              </w:rPr>
              <w:t xml:space="preserve">Factual discussions of WTO dispute settlement </w:t>
            </w:r>
            <w:r>
              <w:rPr>
                <w:rFonts w:cstheme="minorHAnsi"/>
                <w:bCs/>
                <w:i/>
                <w:iCs/>
                <w:color w:val="000000" w:themeColor="text1"/>
              </w:rPr>
              <w:t>findings, Q&amp;As and hypothetical-scenarios will be reviewed</w:t>
            </w:r>
            <w:r w:rsidRPr="00AD2D46">
              <w:rPr>
                <w:rFonts w:cstheme="minorHAnsi"/>
                <w:bCs/>
                <w:i/>
                <w:iCs/>
                <w:color w:val="000000" w:themeColor="text1"/>
              </w:rPr>
              <w:t xml:space="preserve"> throughout the presentation.</w:t>
            </w:r>
          </w:p>
        </w:tc>
      </w:tr>
      <w:tr w:rsidR="005E1F76" w:rsidRPr="008D5211" w14:paraId="7E8C3D6C" w14:textId="77777777" w:rsidTr="00A840B7">
        <w:tc>
          <w:tcPr>
            <w:tcW w:w="1560" w:type="dxa"/>
          </w:tcPr>
          <w:p w14:paraId="47CD22BF" w14:textId="77777777" w:rsidR="005E1F76" w:rsidRDefault="005E1F76" w:rsidP="005E1F76">
            <w:pPr>
              <w:rPr>
                <w:rFonts w:cstheme="minorHAnsi"/>
              </w:rPr>
            </w:pPr>
            <w:r>
              <w:rPr>
                <w:rFonts w:cstheme="minorHAnsi"/>
              </w:rPr>
              <w:t>1230 – 13.30</w:t>
            </w:r>
          </w:p>
          <w:p w14:paraId="71DB5CC2" w14:textId="4E8AD066" w:rsidR="005E1F76" w:rsidRDefault="005E1F76" w:rsidP="005E1F76">
            <w:pPr>
              <w:rPr>
                <w:rFonts w:cstheme="minorHAnsi"/>
              </w:rPr>
            </w:pPr>
            <w:r>
              <w:rPr>
                <w:rFonts w:cstheme="minorHAnsi"/>
              </w:rPr>
              <w:t>(1 hr)</w:t>
            </w:r>
          </w:p>
        </w:tc>
        <w:tc>
          <w:tcPr>
            <w:tcW w:w="5103" w:type="dxa"/>
          </w:tcPr>
          <w:p w14:paraId="7DD004DF" w14:textId="4862B64B" w:rsidR="005E1F76" w:rsidRPr="008D5211" w:rsidRDefault="005E1F76" w:rsidP="005E1F76">
            <w:pPr>
              <w:rPr>
                <w:rFonts w:cstheme="minorHAnsi"/>
                <w:b/>
                <w:lang w:val="en-GB"/>
              </w:rPr>
            </w:pPr>
            <w:r>
              <w:rPr>
                <w:rFonts w:cstheme="minorHAnsi"/>
                <w:b/>
                <w:lang w:val="en-GB"/>
              </w:rPr>
              <w:t xml:space="preserve">Session 6: </w:t>
            </w:r>
            <w:r w:rsidRPr="008D5211">
              <w:rPr>
                <w:rFonts w:cstheme="minorHAnsi"/>
                <w:b/>
                <w:lang w:val="en-GB"/>
              </w:rPr>
              <w:t xml:space="preserve">Overview of the </w:t>
            </w:r>
            <w:r>
              <w:rPr>
                <w:rFonts w:cstheme="minorHAnsi"/>
                <w:b/>
                <w:lang w:val="en-GB"/>
              </w:rPr>
              <w:t>A</w:t>
            </w:r>
            <w:r w:rsidRPr="008D5211">
              <w:rPr>
                <w:rFonts w:cstheme="minorHAnsi"/>
                <w:b/>
                <w:lang w:val="en-GB"/>
              </w:rPr>
              <w:t xml:space="preserve">SCM and its disciplines </w:t>
            </w:r>
          </w:p>
          <w:p w14:paraId="3057D639" w14:textId="77777777" w:rsidR="005E1F76" w:rsidRDefault="005E1F76" w:rsidP="005E1F76">
            <w:pPr>
              <w:pStyle w:val="ListParagraph"/>
              <w:numPr>
                <w:ilvl w:val="0"/>
                <w:numId w:val="15"/>
              </w:numPr>
              <w:rPr>
                <w:rFonts w:cstheme="minorHAnsi"/>
                <w:lang w:val="en-US"/>
              </w:rPr>
            </w:pPr>
            <w:r w:rsidRPr="001F6814">
              <w:rPr>
                <w:rFonts w:cstheme="minorHAnsi"/>
                <w:bCs/>
                <w:lang w:val="en-GB"/>
              </w:rPr>
              <w:t>Subsidies</w:t>
            </w:r>
            <w:r w:rsidRPr="001F6814">
              <w:rPr>
                <w:rFonts w:cstheme="minorHAnsi"/>
                <w:bCs/>
                <w:lang w:val="en-US"/>
              </w:rPr>
              <w:t xml:space="preserve"> </w:t>
            </w:r>
            <w:r w:rsidRPr="001F6814">
              <w:rPr>
                <w:rFonts w:cstheme="minorHAnsi"/>
                <w:lang w:val="en-US"/>
              </w:rPr>
              <w:t>and trade: the role of subsidies disciplines in the WTO system</w:t>
            </w:r>
          </w:p>
          <w:p w14:paraId="34C2223F" w14:textId="77777777" w:rsidR="005E1F76" w:rsidRDefault="005E1F76" w:rsidP="005E1F76">
            <w:pPr>
              <w:pStyle w:val="ListParagraph"/>
              <w:numPr>
                <w:ilvl w:val="0"/>
                <w:numId w:val="15"/>
              </w:numPr>
              <w:rPr>
                <w:rFonts w:cstheme="minorHAnsi"/>
                <w:lang w:val="en-US"/>
              </w:rPr>
            </w:pPr>
            <w:r w:rsidRPr="00A840B7">
              <w:rPr>
                <w:rFonts w:cstheme="minorHAnsi"/>
                <w:lang w:val="en-US"/>
              </w:rPr>
              <w:t>Multilateral subsidies disciplines vs countervailing measures: Two tracks for relief</w:t>
            </w:r>
          </w:p>
          <w:p w14:paraId="16A8A70D" w14:textId="77777777" w:rsidR="005E1F76" w:rsidRDefault="005E1F76" w:rsidP="005E1F76">
            <w:pPr>
              <w:pStyle w:val="ListParagraph"/>
              <w:numPr>
                <w:ilvl w:val="0"/>
                <w:numId w:val="15"/>
              </w:numPr>
              <w:rPr>
                <w:rFonts w:cstheme="minorHAnsi"/>
                <w:lang w:val="en-US"/>
              </w:rPr>
            </w:pPr>
            <w:r w:rsidRPr="00A840B7">
              <w:rPr>
                <w:rFonts w:cstheme="minorHAnsi"/>
                <w:lang w:val="en-US"/>
              </w:rPr>
              <w:t>Coverage of the ASCM</w:t>
            </w:r>
          </w:p>
          <w:p w14:paraId="146810C1" w14:textId="77777777" w:rsidR="005E1F76" w:rsidRDefault="005E1F76" w:rsidP="005E1F76">
            <w:pPr>
              <w:pStyle w:val="ListParagraph"/>
              <w:numPr>
                <w:ilvl w:val="0"/>
                <w:numId w:val="15"/>
              </w:numPr>
              <w:rPr>
                <w:rFonts w:cstheme="minorHAnsi"/>
                <w:lang w:val="en-US"/>
              </w:rPr>
            </w:pPr>
            <w:r w:rsidRPr="00A840B7">
              <w:rPr>
                <w:rFonts w:cstheme="minorHAnsi"/>
                <w:lang w:val="en-US"/>
              </w:rPr>
              <w:t>Definition of a subsidy</w:t>
            </w:r>
          </w:p>
          <w:p w14:paraId="07828161" w14:textId="3E4FBF3B" w:rsidR="005E1F76" w:rsidRPr="005E1F76" w:rsidRDefault="005E1F76" w:rsidP="005E1F76">
            <w:pPr>
              <w:pStyle w:val="ListParagraph"/>
              <w:numPr>
                <w:ilvl w:val="0"/>
                <w:numId w:val="15"/>
              </w:numPr>
              <w:rPr>
                <w:rFonts w:cstheme="minorHAnsi"/>
                <w:lang w:val="en-US"/>
              </w:rPr>
            </w:pPr>
            <w:r w:rsidRPr="005E1F76">
              <w:rPr>
                <w:rFonts w:cstheme="minorHAnsi"/>
                <w:lang w:val="en-US"/>
              </w:rPr>
              <w:t>Specificity</w:t>
            </w:r>
          </w:p>
        </w:tc>
        <w:tc>
          <w:tcPr>
            <w:tcW w:w="2835" w:type="dxa"/>
          </w:tcPr>
          <w:p w14:paraId="4ADD9F61" w14:textId="77777777" w:rsidR="005E1F76" w:rsidRDefault="005E1F76" w:rsidP="005E1F76">
            <w:pPr>
              <w:rPr>
                <w:rFonts w:cstheme="minorHAnsi"/>
              </w:rPr>
            </w:pPr>
            <w:r w:rsidRPr="000B478D">
              <w:rPr>
                <w:rFonts w:cstheme="minorHAnsi"/>
              </w:rPr>
              <w:t xml:space="preserve">-Mr Paul Piquado, </w:t>
            </w:r>
          </w:p>
          <w:p w14:paraId="33381C7D" w14:textId="77777777" w:rsidR="005E1F76" w:rsidRDefault="005E1F76" w:rsidP="005E1F76">
            <w:pPr>
              <w:rPr>
                <w:rFonts w:cstheme="minorHAnsi"/>
              </w:rPr>
            </w:pPr>
            <w:r w:rsidRPr="000B478D">
              <w:rPr>
                <w:rFonts w:cstheme="minorHAnsi"/>
              </w:rPr>
              <w:t>Counsellor and Senior Lawyer, Rules Division, WTO</w:t>
            </w:r>
          </w:p>
          <w:p w14:paraId="0AA9AF7F" w14:textId="77777777" w:rsidR="005E1F76" w:rsidRDefault="005E1F76" w:rsidP="005E1F76">
            <w:pPr>
              <w:rPr>
                <w:rFonts w:cstheme="minorHAnsi"/>
              </w:rPr>
            </w:pPr>
          </w:p>
          <w:p w14:paraId="2ABE4493" w14:textId="77777777" w:rsidR="005E1F76" w:rsidRPr="000B478D" w:rsidRDefault="005E1F76" w:rsidP="005E1F76">
            <w:pPr>
              <w:rPr>
                <w:rFonts w:cstheme="minorHAnsi"/>
              </w:rPr>
            </w:pPr>
            <w:r>
              <w:rPr>
                <w:rFonts w:cstheme="minorHAnsi"/>
              </w:rPr>
              <w:t>-</w:t>
            </w:r>
            <w:r w:rsidRPr="000B478D">
              <w:rPr>
                <w:rFonts w:cstheme="minorHAnsi"/>
              </w:rPr>
              <w:t>Mr Seref Gokay Coskun, Counsellor, Rules Division, WTO</w:t>
            </w:r>
          </w:p>
          <w:p w14:paraId="34AA264E" w14:textId="772E6B77" w:rsidR="005E1F76" w:rsidRPr="000B478D" w:rsidRDefault="005E1F76" w:rsidP="005E1F76">
            <w:pPr>
              <w:rPr>
                <w:rFonts w:cstheme="minorHAnsi"/>
              </w:rPr>
            </w:pPr>
          </w:p>
        </w:tc>
      </w:tr>
      <w:tr w:rsidR="005E1F76" w:rsidRPr="008D5211" w14:paraId="643A100F" w14:textId="77777777" w:rsidTr="00A840B7">
        <w:tc>
          <w:tcPr>
            <w:tcW w:w="1560" w:type="dxa"/>
          </w:tcPr>
          <w:p w14:paraId="36C1C851" w14:textId="20578D76" w:rsidR="005E1F76" w:rsidRDefault="005E1F76" w:rsidP="005E1F76">
            <w:pPr>
              <w:rPr>
                <w:rFonts w:cstheme="minorHAnsi"/>
              </w:rPr>
            </w:pPr>
            <w:r>
              <w:rPr>
                <w:rFonts w:cstheme="minorHAnsi"/>
              </w:rPr>
              <w:t>1330 - 1400</w:t>
            </w:r>
          </w:p>
        </w:tc>
        <w:tc>
          <w:tcPr>
            <w:tcW w:w="5103" w:type="dxa"/>
          </w:tcPr>
          <w:p w14:paraId="640003C5" w14:textId="2F096FDB" w:rsidR="005E1F76" w:rsidRPr="008D5211" w:rsidRDefault="005E1F76" w:rsidP="005E1F76">
            <w:pPr>
              <w:rPr>
                <w:rFonts w:cstheme="minorHAnsi"/>
                <w:b/>
                <w:lang w:val="en-GB"/>
              </w:rPr>
            </w:pPr>
            <w:r>
              <w:rPr>
                <w:rFonts w:cstheme="minorHAnsi"/>
                <w:b/>
                <w:lang w:val="en-GB"/>
              </w:rPr>
              <w:t>Q&amp;A and  Wrap-Up</w:t>
            </w:r>
          </w:p>
          <w:p w14:paraId="432EA617" w14:textId="77777777" w:rsidR="005E1F76" w:rsidRPr="008D5211" w:rsidRDefault="005E1F76" w:rsidP="005E1F76">
            <w:pPr>
              <w:ind w:left="461"/>
              <w:rPr>
                <w:rFonts w:cstheme="minorHAnsi"/>
                <w:b/>
              </w:rPr>
            </w:pPr>
          </w:p>
        </w:tc>
        <w:tc>
          <w:tcPr>
            <w:tcW w:w="2835" w:type="dxa"/>
          </w:tcPr>
          <w:p w14:paraId="6FA691F3" w14:textId="07D2D91C" w:rsidR="005E1F76" w:rsidRPr="008D5211" w:rsidRDefault="005E1F76" w:rsidP="005E1F76">
            <w:pPr>
              <w:rPr>
                <w:rFonts w:cstheme="minorHAnsi"/>
              </w:rPr>
            </w:pPr>
          </w:p>
        </w:tc>
      </w:tr>
      <w:tr w:rsidR="005E1F76" w:rsidRPr="008D5211" w14:paraId="775014E3" w14:textId="77777777" w:rsidTr="00B67A54">
        <w:tc>
          <w:tcPr>
            <w:tcW w:w="9498" w:type="dxa"/>
            <w:gridSpan w:val="3"/>
            <w:shd w:val="clear" w:color="auto" w:fill="171717" w:themeFill="background2" w:themeFillShade="1A"/>
          </w:tcPr>
          <w:p w14:paraId="4576BD7C" w14:textId="5BFDDBDD" w:rsidR="005E1F76" w:rsidRPr="008D5211" w:rsidRDefault="005E1F76" w:rsidP="005E1F76">
            <w:pPr>
              <w:rPr>
                <w:rFonts w:cstheme="minorHAnsi"/>
              </w:rPr>
            </w:pPr>
            <w:r w:rsidRPr="00B67A54">
              <w:rPr>
                <w:rFonts w:cstheme="minorHAnsi"/>
                <w:b/>
                <w:bCs/>
                <w:color w:val="FFFFFF" w:themeColor="background1"/>
                <w:sz w:val="24"/>
                <w:szCs w:val="24"/>
              </w:rPr>
              <w:t xml:space="preserve">Day </w:t>
            </w:r>
            <w:r>
              <w:rPr>
                <w:rFonts w:cstheme="minorHAnsi"/>
                <w:b/>
                <w:bCs/>
                <w:color w:val="FFFFFF" w:themeColor="background1"/>
                <w:sz w:val="24"/>
                <w:szCs w:val="24"/>
              </w:rPr>
              <w:t>3</w:t>
            </w:r>
            <w:r w:rsidRPr="00B67A54">
              <w:rPr>
                <w:rFonts w:cstheme="minorHAnsi"/>
                <w:b/>
                <w:bCs/>
                <w:color w:val="FFFFFF" w:themeColor="background1"/>
                <w:sz w:val="24"/>
                <w:szCs w:val="24"/>
              </w:rPr>
              <w:t xml:space="preserve">: </w:t>
            </w:r>
            <w:r>
              <w:rPr>
                <w:rFonts w:cstheme="minorHAnsi"/>
                <w:b/>
                <w:bCs/>
                <w:color w:val="FFFFFF" w:themeColor="background1"/>
                <w:sz w:val="24"/>
                <w:szCs w:val="24"/>
              </w:rPr>
              <w:t>(0800-1400)</w:t>
            </w:r>
          </w:p>
        </w:tc>
      </w:tr>
      <w:tr w:rsidR="005E1F76" w:rsidRPr="008D5211" w14:paraId="3E74A595" w14:textId="77777777" w:rsidTr="00A840B7">
        <w:tc>
          <w:tcPr>
            <w:tcW w:w="1560" w:type="dxa"/>
          </w:tcPr>
          <w:p w14:paraId="62EED3D1" w14:textId="13BD76C2" w:rsidR="005E1F76" w:rsidRDefault="005E1F76" w:rsidP="005E1F76">
            <w:pPr>
              <w:rPr>
                <w:rFonts w:cstheme="minorHAnsi"/>
              </w:rPr>
            </w:pPr>
            <w:r>
              <w:rPr>
                <w:rFonts w:cstheme="minorHAnsi"/>
              </w:rPr>
              <w:t>0800-0900</w:t>
            </w:r>
          </w:p>
          <w:p w14:paraId="76312D6B" w14:textId="28B950AB" w:rsidR="005E1F76" w:rsidRPr="008D5211" w:rsidRDefault="005E1F76" w:rsidP="005E1F76">
            <w:pPr>
              <w:rPr>
                <w:rFonts w:cstheme="minorHAnsi"/>
              </w:rPr>
            </w:pPr>
            <w:r>
              <w:rPr>
                <w:rFonts w:cstheme="minorHAnsi"/>
              </w:rPr>
              <w:t>(1 hour)</w:t>
            </w:r>
          </w:p>
        </w:tc>
        <w:tc>
          <w:tcPr>
            <w:tcW w:w="5103" w:type="dxa"/>
          </w:tcPr>
          <w:p w14:paraId="6C17E793" w14:textId="6C82D9D8" w:rsidR="005E1F76" w:rsidRDefault="005E1F76" w:rsidP="005E1F76">
            <w:pPr>
              <w:jc w:val="both"/>
              <w:rPr>
                <w:rFonts w:cstheme="minorHAnsi"/>
                <w:b/>
                <w:lang w:val="en-GB"/>
              </w:rPr>
            </w:pPr>
            <w:r>
              <w:rPr>
                <w:rFonts w:cstheme="minorHAnsi"/>
                <w:b/>
                <w:lang w:val="en-GB"/>
              </w:rPr>
              <w:t xml:space="preserve">Session </w:t>
            </w:r>
            <w:r w:rsidR="008628B0">
              <w:rPr>
                <w:rFonts w:cstheme="minorHAnsi"/>
                <w:b/>
                <w:lang w:val="en-GB"/>
              </w:rPr>
              <w:t>7</w:t>
            </w:r>
            <w:r>
              <w:rPr>
                <w:rFonts w:cstheme="minorHAnsi"/>
                <w:b/>
                <w:lang w:val="en-GB"/>
              </w:rPr>
              <w:t>: Prohibited, Actionable, and Non-Actionable Subsidies</w:t>
            </w:r>
          </w:p>
          <w:p w14:paraId="6C1BE80A" w14:textId="77777777" w:rsidR="005E1F76" w:rsidRDefault="005E1F76" w:rsidP="005E1F76">
            <w:pPr>
              <w:jc w:val="both"/>
              <w:rPr>
                <w:rFonts w:cstheme="minorHAnsi"/>
                <w:b/>
                <w:lang w:val="en-GB"/>
              </w:rPr>
            </w:pPr>
          </w:p>
          <w:p w14:paraId="05A1A85E" w14:textId="77777777" w:rsidR="005E1F76" w:rsidRPr="008D5211" w:rsidRDefault="005E1F76" w:rsidP="005E1F76">
            <w:pPr>
              <w:jc w:val="both"/>
              <w:rPr>
                <w:rFonts w:cstheme="minorHAnsi"/>
                <w:b/>
                <w:lang w:val="en-GB"/>
              </w:rPr>
            </w:pPr>
            <w:r>
              <w:rPr>
                <w:rFonts w:cstheme="minorHAnsi"/>
                <w:b/>
                <w:lang w:val="en-GB"/>
              </w:rPr>
              <w:t>Prohibited Subsidies</w:t>
            </w:r>
          </w:p>
          <w:p w14:paraId="25C4E4CF" w14:textId="77777777" w:rsidR="005E1F76" w:rsidRPr="00CA721E" w:rsidRDefault="005E1F76" w:rsidP="005E1F76">
            <w:pPr>
              <w:pStyle w:val="ListParagraph"/>
              <w:numPr>
                <w:ilvl w:val="0"/>
                <w:numId w:val="29"/>
              </w:numPr>
              <w:tabs>
                <w:tab w:val="left" w:pos="1058"/>
              </w:tabs>
              <w:jc w:val="both"/>
              <w:rPr>
                <w:rFonts w:cstheme="minorHAnsi"/>
              </w:rPr>
            </w:pPr>
            <w:r w:rsidRPr="00CA721E">
              <w:rPr>
                <w:rFonts w:cstheme="minorHAnsi"/>
              </w:rPr>
              <w:t xml:space="preserve">Export subsidies  </w:t>
            </w:r>
          </w:p>
          <w:p w14:paraId="0D8A97B1" w14:textId="77777777" w:rsidR="005E1F76" w:rsidRPr="00CA721E" w:rsidRDefault="005E1F76" w:rsidP="005E1F76">
            <w:pPr>
              <w:pStyle w:val="ListParagraph"/>
              <w:numPr>
                <w:ilvl w:val="0"/>
                <w:numId w:val="29"/>
              </w:numPr>
              <w:tabs>
                <w:tab w:val="left" w:pos="1058"/>
              </w:tabs>
              <w:jc w:val="both"/>
              <w:rPr>
                <w:rFonts w:cstheme="minorHAnsi"/>
              </w:rPr>
            </w:pPr>
            <w:r w:rsidRPr="00CA721E">
              <w:rPr>
                <w:rFonts w:cstheme="minorHAnsi"/>
              </w:rPr>
              <w:t>Local content subsidies</w:t>
            </w:r>
          </w:p>
          <w:p w14:paraId="18EA2783" w14:textId="77777777" w:rsidR="005E1F76" w:rsidRPr="00CA721E" w:rsidRDefault="005E1F76" w:rsidP="005E1F76">
            <w:pPr>
              <w:pStyle w:val="ListParagraph"/>
              <w:numPr>
                <w:ilvl w:val="0"/>
                <w:numId w:val="29"/>
              </w:numPr>
              <w:tabs>
                <w:tab w:val="left" w:pos="1058"/>
              </w:tabs>
              <w:spacing w:before="120" w:after="120"/>
              <w:jc w:val="both"/>
              <w:rPr>
                <w:rFonts w:cstheme="minorHAnsi"/>
                <w:lang w:val="fr-CH"/>
              </w:rPr>
            </w:pPr>
            <w:r w:rsidRPr="00E17366">
              <w:rPr>
                <w:rFonts w:cstheme="minorHAnsi"/>
                <w:i/>
                <w:iCs/>
                <w:lang w:val="fr-CH"/>
              </w:rPr>
              <w:t>De jure</w:t>
            </w:r>
            <w:r w:rsidRPr="00CA721E">
              <w:rPr>
                <w:rFonts w:cstheme="minorHAnsi"/>
                <w:i/>
                <w:lang w:val="fr-CH"/>
              </w:rPr>
              <w:t xml:space="preserve"> </w:t>
            </w:r>
            <w:r w:rsidRPr="00CA721E">
              <w:rPr>
                <w:rFonts w:cstheme="minorHAnsi"/>
                <w:lang w:val="fr-CH"/>
              </w:rPr>
              <w:t xml:space="preserve">v. </w:t>
            </w:r>
            <w:r w:rsidRPr="00CA721E">
              <w:rPr>
                <w:rFonts w:cstheme="minorHAnsi"/>
                <w:i/>
                <w:lang w:val="fr-CH"/>
              </w:rPr>
              <w:t>de facto</w:t>
            </w:r>
            <w:r w:rsidRPr="00CA721E">
              <w:rPr>
                <w:rFonts w:cstheme="minorHAnsi"/>
                <w:lang w:val="fr-CH"/>
              </w:rPr>
              <w:t xml:space="preserve"> </w:t>
            </w:r>
            <w:proofErr w:type="spellStart"/>
            <w:r w:rsidRPr="00CA721E">
              <w:rPr>
                <w:rFonts w:cstheme="minorHAnsi"/>
                <w:lang w:val="fr-CH"/>
              </w:rPr>
              <w:t>conditionality</w:t>
            </w:r>
            <w:proofErr w:type="spellEnd"/>
          </w:p>
          <w:p w14:paraId="69FA87A2" w14:textId="77777777" w:rsidR="005E1F76" w:rsidRPr="00A44AC0" w:rsidRDefault="005E1F76" w:rsidP="005E1F76">
            <w:pPr>
              <w:pStyle w:val="ListParagraph"/>
              <w:numPr>
                <w:ilvl w:val="0"/>
                <w:numId w:val="29"/>
              </w:numPr>
              <w:tabs>
                <w:tab w:val="left" w:pos="1058"/>
              </w:tabs>
              <w:spacing w:before="120" w:after="120"/>
              <w:jc w:val="both"/>
              <w:rPr>
                <w:rFonts w:cstheme="minorHAnsi"/>
              </w:rPr>
            </w:pPr>
            <w:r w:rsidRPr="00CA721E">
              <w:rPr>
                <w:rFonts w:cstheme="minorHAnsi"/>
              </w:rPr>
              <w:t>Special and Differential Treatment</w:t>
            </w:r>
          </w:p>
          <w:p w14:paraId="4B3230C9" w14:textId="77777777" w:rsidR="005E1F76" w:rsidRPr="00AD2D46" w:rsidRDefault="005E1F76" w:rsidP="005E1F76">
            <w:pPr>
              <w:jc w:val="both"/>
              <w:rPr>
                <w:rFonts w:cstheme="minorHAnsi"/>
                <w:b/>
                <w:lang w:val="en-GB"/>
              </w:rPr>
            </w:pPr>
            <w:r w:rsidRPr="00AD2D46">
              <w:rPr>
                <w:rFonts w:cstheme="minorHAnsi"/>
                <w:b/>
                <w:lang w:val="en-GB"/>
              </w:rPr>
              <w:t>Actionable Subsidies</w:t>
            </w:r>
          </w:p>
          <w:p w14:paraId="5F866E2D" w14:textId="77777777" w:rsidR="005E1F76" w:rsidRPr="00AD2D46" w:rsidRDefault="005E1F76" w:rsidP="005E1F76">
            <w:pPr>
              <w:pStyle w:val="ListParagraph"/>
              <w:numPr>
                <w:ilvl w:val="0"/>
                <w:numId w:val="43"/>
              </w:numPr>
              <w:jc w:val="both"/>
              <w:rPr>
                <w:rFonts w:cstheme="minorHAnsi"/>
              </w:rPr>
            </w:pPr>
            <w:r w:rsidRPr="00AD2D46">
              <w:rPr>
                <w:rFonts w:cstheme="minorHAnsi"/>
                <w:bCs/>
                <w:lang w:val="en-GB"/>
              </w:rPr>
              <w:t>Actionability</w:t>
            </w:r>
            <w:r w:rsidRPr="00AD2D46">
              <w:rPr>
                <w:rFonts w:cstheme="minorHAnsi"/>
              </w:rPr>
              <w:t xml:space="preserve"> and adverse effects</w:t>
            </w:r>
          </w:p>
          <w:p w14:paraId="433DA869" w14:textId="77777777" w:rsidR="005E1F76" w:rsidRPr="008D5211" w:rsidRDefault="005E1F76" w:rsidP="005E1F76">
            <w:pPr>
              <w:pStyle w:val="ListParagraph"/>
              <w:numPr>
                <w:ilvl w:val="0"/>
                <w:numId w:val="29"/>
              </w:numPr>
              <w:tabs>
                <w:tab w:val="left" w:pos="1058"/>
              </w:tabs>
              <w:spacing w:before="120" w:after="120"/>
              <w:jc w:val="both"/>
              <w:rPr>
                <w:rFonts w:cstheme="minorHAnsi"/>
              </w:rPr>
            </w:pPr>
            <w:r w:rsidRPr="008D5211">
              <w:rPr>
                <w:rFonts w:cstheme="minorHAnsi"/>
              </w:rPr>
              <w:t>Types of adverse effects</w:t>
            </w:r>
          </w:p>
          <w:p w14:paraId="2F72ABD9" w14:textId="77777777" w:rsidR="005E1F76" w:rsidRPr="008D5211" w:rsidRDefault="005E1F76" w:rsidP="005E1F76">
            <w:pPr>
              <w:pStyle w:val="ListParagraph"/>
              <w:numPr>
                <w:ilvl w:val="0"/>
                <w:numId w:val="29"/>
              </w:numPr>
              <w:tabs>
                <w:tab w:val="left" w:pos="1058"/>
              </w:tabs>
              <w:spacing w:before="120" w:after="120"/>
              <w:jc w:val="both"/>
              <w:rPr>
                <w:rFonts w:cstheme="minorHAnsi"/>
              </w:rPr>
            </w:pPr>
            <w:r w:rsidRPr="008D5211">
              <w:rPr>
                <w:rFonts w:cstheme="minorHAnsi"/>
              </w:rPr>
              <w:t>Serious prejudice</w:t>
            </w:r>
          </w:p>
          <w:p w14:paraId="5D37664B" w14:textId="77777777" w:rsidR="005E1F76" w:rsidRPr="008D5211" w:rsidRDefault="005E1F76" w:rsidP="005E1F76">
            <w:pPr>
              <w:pStyle w:val="ListParagraph"/>
              <w:numPr>
                <w:ilvl w:val="0"/>
                <w:numId w:val="29"/>
              </w:numPr>
              <w:tabs>
                <w:tab w:val="left" w:pos="1058"/>
              </w:tabs>
              <w:spacing w:before="120" w:after="120"/>
              <w:jc w:val="both"/>
              <w:rPr>
                <w:rFonts w:cstheme="minorHAnsi"/>
              </w:rPr>
            </w:pPr>
            <w:r w:rsidRPr="008D5211">
              <w:rPr>
                <w:rFonts w:cstheme="minorHAnsi"/>
              </w:rPr>
              <w:t>Nullification and Impairment</w:t>
            </w:r>
          </w:p>
          <w:p w14:paraId="315C2982" w14:textId="77777777" w:rsidR="005E1F76" w:rsidRDefault="005E1F76" w:rsidP="005E1F76">
            <w:pPr>
              <w:pStyle w:val="ListParagraph"/>
              <w:numPr>
                <w:ilvl w:val="0"/>
                <w:numId w:val="29"/>
              </w:numPr>
              <w:tabs>
                <w:tab w:val="left" w:pos="1058"/>
              </w:tabs>
              <w:spacing w:before="120" w:after="120"/>
              <w:jc w:val="both"/>
              <w:rPr>
                <w:rFonts w:cstheme="minorHAnsi"/>
              </w:rPr>
            </w:pPr>
            <w:r w:rsidRPr="008D5211">
              <w:rPr>
                <w:rFonts w:cstheme="minorHAnsi"/>
              </w:rPr>
              <w:t>Special and Differential Treatment</w:t>
            </w:r>
          </w:p>
          <w:p w14:paraId="51FF3F9F" w14:textId="37B12709" w:rsidR="005E1F76" w:rsidRPr="00A840B7" w:rsidRDefault="005E1F76" w:rsidP="005E1F76">
            <w:pPr>
              <w:pStyle w:val="ListParagraph"/>
              <w:numPr>
                <w:ilvl w:val="0"/>
                <w:numId w:val="15"/>
              </w:numPr>
              <w:rPr>
                <w:rFonts w:cstheme="minorHAnsi"/>
                <w:lang w:val="en-US"/>
              </w:rPr>
            </w:pPr>
            <w:r w:rsidRPr="00E17366">
              <w:rPr>
                <w:rFonts w:cstheme="minorHAnsi"/>
                <w:b/>
                <w:bCs/>
              </w:rPr>
              <w:t>Non-Actionable Subsides (Article 8)</w:t>
            </w:r>
          </w:p>
        </w:tc>
        <w:tc>
          <w:tcPr>
            <w:tcW w:w="2835" w:type="dxa"/>
          </w:tcPr>
          <w:p w14:paraId="22ED2D23" w14:textId="77777777" w:rsidR="008628B0" w:rsidRDefault="008628B0" w:rsidP="008628B0">
            <w:pPr>
              <w:rPr>
                <w:rFonts w:cstheme="minorHAnsi"/>
              </w:rPr>
            </w:pPr>
            <w:r w:rsidRPr="000B478D">
              <w:rPr>
                <w:rFonts w:cstheme="minorHAnsi"/>
              </w:rPr>
              <w:t xml:space="preserve">-Mr Paul Piquado, </w:t>
            </w:r>
          </w:p>
          <w:p w14:paraId="7FE95DEB" w14:textId="77777777" w:rsidR="008628B0" w:rsidRDefault="008628B0" w:rsidP="008628B0">
            <w:pPr>
              <w:rPr>
                <w:rFonts w:cstheme="minorHAnsi"/>
              </w:rPr>
            </w:pPr>
            <w:r w:rsidRPr="000B478D">
              <w:rPr>
                <w:rFonts w:cstheme="minorHAnsi"/>
              </w:rPr>
              <w:t>Counsellor and Senior Lawyer, Rules Division, WTO</w:t>
            </w:r>
          </w:p>
          <w:p w14:paraId="36C50824" w14:textId="77777777" w:rsidR="008628B0" w:rsidRDefault="008628B0" w:rsidP="008628B0">
            <w:pPr>
              <w:rPr>
                <w:rFonts w:cstheme="minorHAnsi"/>
              </w:rPr>
            </w:pPr>
          </w:p>
          <w:p w14:paraId="3FD62C03" w14:textId="77777777" w:rsidR="008628B0" w:rsidRPr="000B478D" w:rsidRDefault="008628B0" w:rsidP="008628B0">
            <w:pPr>
              <w:rPr>
                <w:rFonts w:cstheme="minorHAnsi"/>
              </w:rPr>
            </w:pPr>
            <w:r>
              <w:rPr>
                <w:rFonts w:cstheme="minorHAnsi"/>
              </w:rPr>
              <w:t>-</w:t>
            </w:r>
            <w:r w:rsidRPr="000B478D">
              <w:rPr>
                <w:rFonts w:cstheme="minorHAnsi"/>
              </w:rPr>
              <w:t>Mr Seref Gokay Coskun, Counsellor, Rules Division, WTO</w:t>
            </w:r>
          </w:p>
          <w:p w14:paraId="483899E4" w14:textId="075354E9" w:rsidR="005E1F76" w:rsidRPr="008D5211" w:rsidRDefault="005E1F76" w:rsidP="005E1F76">
            <w:pPr>
              <w:rPr>
                <w:rFonts w:cstheme="minorHAnsi"/>
              </w:rPr>
            </w:pPr>
          </w:p>
        </w:tc>
      </w:tr>
      <w:tr w:rsidR="008628B0" w:rsidRPr="008D5211" w14:paraId="380EC7E7" w14:textId="77777777" w:rsidTr="00A840B7">
        <w:tc>
          <w:tcPr>
            <w:tcW w:w="1560" w:type="dxa"/>
          </w:tcPr>
          <w:p w14:paraId="1E171D93" w14:textId="72F0F528" w:rsidR="008628B0" w:rsidRDefault="008628B0" w:rsidP="005E1F76">
            <w:pPr>
              <w:rPr>
                <w:rFonts w:cstheme="minorHAnsi"/>
              </w:rPr>
            </w:pPr>
            <w:r>
              <w:rPr>
                <w:rFonts w:cstheme="minorHAnsi"/>
              </w:rPr>
              <w:t>0900 – 1000</w:t>
            </w:r>
          </w:p>
          <w:p w14:paraId="0165FB65" w14:textId="28D9CFC3" w:rsidR="008628B0" w:rsidRDefault="008628B0" w:rsidP="005E1F76">
            <w:pPr>
              <w:rPr>
                <w:rFonts w:cstheme="minorHAnsi"/>
              </w:rPr>
            </w:pPr>
            <w:r>
              <w:rPr>
                <w:rFonts w:cstheme="minorHAnsi"/>
              </w:rPr>
              <w:t>(1 hour)</w:t>
            </w:r>
          </w:p>
        </w:tc>
        <w:tc>
          <w:tcPr>
            <w:tcW w:w="5103" w:type="dxa"/>
          </w:tcPr>
          <w:p w14:paraId="2A17C9CD" w14:textId="77777777" w:rsidR="008628B0" w:rsidRPr="00667587" w:rsidRDefault="008628B0" w:rsidP="008628B0">
            <w:pPr>
              <w:rPr>
                <w:b/>
                <w:lang w:val="en-GB"/>
              </w:rPr>
            </w:pPr>
            <w:r>
              <w:rPr>
                <w:b/>
                <w:lang w:val="en-GB"/>
              </w:rPr>
              <w:t xml:space="preserve">Group </w:t>
            </w:r>
            <w:r w:rsidRPr="00667587">
              <w:rPr>
                <w:b/>
                <w:lang w:val="en-GB"/>
              </w:rPr>
              <w:t xml:space="preserve">Exercises </w:t>
            </w:r>
          </w:p>
          <w:p w14:paraId="6DA591FD" w14:textId="77777777" w:rsidR="008628B0" w:rsidRPr="00D64818" w:rsidRDefault="008628B0" w:rsidP="008628B0">
            <w:pPr>
              <w:rPr>
                <w:b/>
                <w:iCs/>
                <w:sz w:val="24"/>
                <w:szCs w:val="24"/>
                <w:lang w:val="en-GB"/>
              </w:rPr>
            </w:pPr>
            <w:r w:rsidRPr="00406EB8">
              <w:rPr>
                <w:lang w:val="en-GB"/>
              </w:rPr>
              <w:t>Financial Contribution, Benefit &amp; Specificity</w:t>
            </w:r>
          </w:p>
          <w:p w14:paraId="4069F37C" w14:textId="77777777" w:rsidR="008628B0" w:rsidRDefault="008628B0" w:rsidP="005E1F76">
            <w:pPr>
              <w:jc w:val="both"/>
              <w:rPr>
                <w:rFonts w:cstheme="minorHAnsi"/>
                <w:b/>
                <w:lang w:val="en-GB"/>
              </w:rPr>
            </w:pPr>
          </w:p>
        </w:tc>
        <w:tc>
          <w:tcPr>
            <w:tcW w:w="2835" w:type="dxa"/>
          </w:tcPr>
          <w:p w14:paraId="3BAEB2D1" w14:textId="77777777" w:rsidR="008628B0" w:rsidRPr="000B478D" w:rsidRDefault="008628B0" w:rsidP="008628B0">
            <w:pPr>
              <w:rPr>
                <w:rFonts w:cstheme="minorHAnsi"/>
              </w:rPr>
            </w:pPr>
          </w:p>
        </w:tc>
      </w:tr>
      <w:tr w:rsidR="008628B0" w:rsidRPr="008D5211" w14:paraId="37BEEF1F" w14:textId="77777777" w:rsidTr="00A840B7">
        <w:tc>
          <w:tcPr>
            <w:tcW w:w="1560" w:type="dxa"/>
          </w:tcPr>
          <w:p w14:paraId="2489B862" w14:textId="016BBF4A" w:rsidR="008628B0" w:rsidRDefault="008628B0" w:rsidP="008628B0">
            <w:pPr>
              <w:rPr>
                <w:rFonts w:cstheme="minorHAnsi"/>
              </w:rPr>
            </w:pPr>
            <w:r>
              <w:rPr>
                <w:rFonts w:cstheme="minorHAnsi"/>
              </w:rPr>
              <w:t>1000-1030</w:t>
            </w:r>
          </w:p>
          <w:p w14:paraId="71316BF8" w14:textId="773C8760" w:rsidR="008628B0" w:rsidRDefault="008628B0" w:rsidP="008628B0">
            <w:pPr>
              <w:rPr>
                <w:rFonts w:cstheme="minorHAnsi"/>
              </w:rPr>
            </w:pPr>
            <w:r>
              <w:rPr>
                <w:rFonts w:cstheme="minorHAnsi"/>
              </w:rPr>
              <w:t>(30 mins)</w:t>
            </w:r>
          </w:p>
        </w:tc>
        <w:tc>
          <w:tcPr>
            <w:tcW w:w="5103" w:type="dxa"/>
          </w:tcPr>
          <w:p w14:paraId="0A75FA75" w14:textId="72C4C6CA" w:rsidR="008628B0" w:rsidRDefault="008628B0" w:rsidP="008628B0">
            <w:pPr>
              <w:jc w:val="center"/>
              <w:rPr>
                <w:rFonts w:eastAsia="Malgun Gothic" w:cstheme="minorHAnsi"/>
                <w:b/>
                <w:color w:val="4472C4" w:themeColor="accent1"/>
                <w:kern w:val="2"/>
                <w:lang w:val="en-US" w:eastAsia="ko-KR"/>
              </w:rPr>
            </w:pPr>
            <w:r>
              <w:rPr>
                <w:rFonts w:eastAsia="Malgun Gothic" w:cstheme="minorHAnsi"/>
                <w:b/>
                <w:color w:val="4472C4" w:themeColor="accent1"/>
                <w:kern w:val="2"/>
                <w:lang w:val="en-US" w:eastAsia="ko-KR"/>
              </w:rPr>
              <w:t xml:space="preserve">COFFEE BREAK </w:t>
            </w:r>
          </w:p>
          <w:p w14:paraId="1007E9FB" w14:textId="4EB0562B" w:rsidR="008628B0" w:rsidRPr="00B11647" w:rsidRDefault="008628B0" w:rsidP="008628B0">
            <w:pPr>
              <w:jc w:val="center"/>
              <w:rPr>
                <w:rFonts w:eastAsia="Malgun Gothic" w:cstheme="minorHAnsi"/>
                <w:b/>
                <w:color w:val="4472C4" w:themeColor="accent1"/>
                <w:kern w:val="2"/>
                <w:lang w:val="en-US" w:eastAsia="ko-KR"/>
              </w:rPr>
            </w:pPr>
          </w:p>
        </w:tc>
        <w:tc>
          <w:tcPr>
            <w:tcW w:w="2835" w:type="dxa"/>
          </w:tcPr>
          <w:p w14:paraId="1AA7F06B" w14:textId="77777777" w:rsidR="008628B0" w:rsidRPr="008D5211" w:rsidRDefault="008628B0" w:rsidP="008628B0">
            <w:pPr>
              <w:rPr>
                <w:rFonts w:cstheme="minorHAnsi"/>
              </w:rPr>
            </w:pPr>
          </w:p>
        </w:tc>
      </w:tr>
      <w:tr w:rsidR="008628B0" w:rsidRPr="008D5211" w14:paraId="2D2213CC" w14:textId="77777777" w:rsidTr="00A840B7">
        <w:tc>
          <w:tcPr>
            <w:tcW w:w="1560" w:type="dxa"/>
          </w:tcPr>
          <w:p w14:paraId="54B71D8A" w14:textId="385B21FF" w:rsidR="008628B0" w:rsidRDefault="008628B0" w:rsidP="008628B0">
            <w:pPr>
              <w:rPr>
                <w:rFonts w:cstheme="minorHAnsi"/>
              </w:rPr>
            </w:pPr>
            <w:r>
              <w:rPr>
                <w:rFonts w:cstheme="minorHAnsi"/>
              </w:rPr>
              <w:t>1030 – 11</w:t>
            </w:r>
            <w:r w:rsidR="003A50BD">
              <w:rPr>
                <w:rFonts w:cstheme="minorHAnsi"/>
              </w:rPr>
              <w:t>00</w:t>
            </w:r>
          </w:p>
          <w:p w14:paraId="6F15C63A" w14:textId="335D9A19" w:rsidR="008628B0" w:rsidRDefault="008628B0" w:rsidP="008628B0">
            <w:pPr>
              <w:rPr>
                <w:rFonts w:cstheme="minorHAnsi"/>
              </w:rPr>
            </w:pPr>
            <w:r>
              <w:rPr>
                <w:rFonts w:cstheme="minorHAnsi"/>
              </w:rPr>
              <w:t>(</w:t>
            </w:r>
            <w:r w:rsidR="003A50BD">
              <w:rPr>
                <w:rFonts w:cstheme="minorHAnsi"/>
              </w:rPr>
              <w:t>30</w:t>
            </w:r>
            <w:r>
              <w:rPr>
                <w:rFonts w:cstheme="minorHAnsi"/>
              </w:rPr>
              <w:t xml:space="preserve"> mins)</w:t>
            </w:r>
          </w:p>
        </w:tc>
        <w:tc>
          <w:tcPr>
            <w:tcW w:w="5103" w:type="dxa"/>
          </w:tcPr>
          <w:p w14:paraId="25ED9DCB" w14:textId="77777777" w:rsidR="008628B0" w:rsidRPr="007211BD" w:rsidRDefault="008628B0" w:rsidP="008628B0">
            <w:pPr>
              <w:rPr>
                <w:rFonts w:cstheme="minorHAnsi"/>
                <w:b/>
              </w:rPr>
            </w:pPr>
            <w:r>
              <w:rPr>
                <w:rFonts w:cstheme="minorHAnsi"/>
                <w:b/>
              </w:rPr>
              <w:t xml:space="preserve">Session 8: </w:t>
            </w:r>
            <w:r w:rsidRPr="008D5211">
              <w:rPr>
                <w:rFonts w:cstheme="minorHAnsi"/>
                <w:b/>
              </w:rPr>
              <w:t xml:space="preserve">Countervailing </w:t>
            </w:r>
            <w:r>
              <w:rPr>
                <w:rFonts w:cstheme="minorHAnsi"/>
                <w:b/>
              </w:rPr>
              <w:t xml:space="preserve">Duty (CVD) </w:t>
            </w:r>
            <w:r w:rsidRPr="008D5211">
              <w:rPr>
                <w:rFonts w:cstheme="minorHAnsi"/>
                <w:b/>
              </w:rPr>
              <w:t xml:space="preserve">Investigation </w:t>
            </w:r>
            <w:r>
              <w:rPr>
                <w:rFonts w:cstheme="minorHAnsi"/>
                <w:b/>
              </w:rPr>
              <w:t xml:space="preserve">Procedure </w:t>
            </w:r>
            <w:r w:rsidRPr="008D5211">
              <w:rPr>
                <w:rFonts w:cstheme="minorHAnsi"/>
                <w:b/>
              </w:rPr>
              <w:t>under the ASCM</w:t>
            </w:r>
          </w:p>
          <w:p w14:paraId="27CB364F" w14:textId="77777777" w:rsidR="008628B0" w:rsidRDefault="008628B0" w:rsidP="008628B0">
            <w:pPr>
              <w:numPr>
                <w:ilvl w:val="0"/>
                <w:numId w:val="36"/>
              </w:numPr>
              <w:jc w:val="both"/>
              <w:rPr>
                <w:rFonts w:cstheme="minorHAnsi"/>
                <w:lang w:val="en-US"/>
              </w:rPr>
            </w:pPr>
            <w:r w:rsidRPr="008D5211">
              <w:rPr>
                <w:rFonts w:cstheme="minorHAnsi"/>
                <w:lang w:val="en-US"/>
              </w:rPr>
              <w:t>Initiation of the investigation – consultations with the subsidizing state</w:t>
            </w:r>
          </w:p>
          <w:p w14:paraId="39EF4C11" w14:textId="77777777" w:rsidR="008628B0" w:rsidRDefault="008628B0" w:rsidP="008628B0">
            <w:pPr>
              <w:numPr>
                <w:ilvl w:val="0"/>
                <w:numId w:val="36"/>
              </w:numPr>
              <w:jc w:val="both"/>
              <w:rPr>
                <w:rFonts w:cstheme="minorHAnsi"/>
                <w:lang w:val="en-US"/>
              </w:rPr>
            </w:pPr>
            <w:r>
              <w:rPr>
                <w:rFonts w:cstheme="minorHAnsi"/>
                <w:lang w:val="en-US"/>
              </w:rPr>
              <w:t>Due process rights</w:t>
            </w:r>
          </w:p>
          <w:p w14:paraId="316294EF" w14:textId="2C45FA13" w:rsidR="008628B0" w:rsidRPr="001C0AD6" w:rsidRDefault="008628B0" w:rsidP="00165951">
            <w:pPr>
              <w:numPr>
                <w:ilvl w:val="0"/>
                <w:numId w:val="36"/>
              </w:numPr>
              <w:jc w:val="both"/>
              <w:rPr>
                <w:rFonts w:eastAsia="Malgun Gothic" w:cstheme="minorHAnsi"/>
                <w:b/>
                <w:color w:val="4472C4" w:themeColor="accent1"/>
                <w:kern w:val="2"/>
                <w:lang w:val="en-US" w:eastAsia="ko-KR"/>
              </w:rPr>
            </w:pPr>
            <w:r w:rsidRPr="001C0AD6">
              <w:rPr>
                <w:rFonts w:cstheme="minorHAnsi"/>
                <w:lang w:val="en-US"/>
              </w:rPr>
              <w:t>Collection of information – questionnaires to determine the existence and quantity of a subsidy</w:t>
            </w:r>
          </w:p>
        </w:tc>
        <w:tc>
          <w:tcPr>
            <w:tcW w:w="2835" w:type="dxa"/>
          </w:tcPr>
          <w:p w14:paraId="139772D6" w14:textId="77777777" w:rsidR="008628B0" w:rsidRDefault="008628B0" w:rsidP="008628B0">
            <w:pPr>
              <w:rPr>
                <w:rFonts w:cstheme="minorHAnsi"/>
              </w:rPr>
            </w:pPr>
            <w:r w:rsidRPr="000B478D">
              <w:rPr>
                <w:rFonts w:cstheme="minorHAnsi"/>
              </w:rPr>
              <w:t xml:space="preserve">-Mr Paul Piquado, </w:t>
            </w:r>
          </w:p>
          <w:p w14:paraId="341D3D9B" w14:textId="77777777" w:rsidR="008628B0" w:rsidRDefault="008628B0" w:rsidP="008628B0">
            <w:pPr>
              <w:rPr>
                <w:rFonts w:cstheme="minorHAnsi"/>
              </w:rPr>
            </w:pPr>
            <w:r w:rsidRPr="000B478D">
              <w:rPr>
                <w:rFonts w:cstheme="minorHAnsi"/>
              </w:rPr>
              <w:t>Counsellor and Senior Lawyer, Rules Division, WTO</w:t>
            </w:r>
          </w:p>
          <w:p w14:paraId="60D1302F" w14:textId="77777777" w:rsidR="008628B0" w:rsidRDefault="008628B0" w:rsidP="008628B0">
            <w:pPr>
              <w:rPr>
                <w:rFonts w:cstheme="minorHAnsi"/>
              </w:rPr>
            </w:pPr>
          </w:p>
          <w:p w14:paraId="543262D9" w14:textId="77777777" w:rsidR="008628B0" w:rsidRPr="000B478D" w:rsidRDefault="008628B0" w:rsidP="008628B0">
            <w:pPr>
              <w:rPr>
                <w:rFonts w:cstheme="minorHAnsi"/>
              </w:rPr>
            </w:pPr>
            <w:r>
              <w:rPr>
                <w:rFonts w:cstheme="minorHAnsi"/>
              </w:rPr>
              <w:t>-</w:t>
            </w:r>
            <w:r w:rsidRPr="000B478D">
              <w:rPr>
                <w:rFonts w:cstheme="minorHAnsi"/>
              </w:rPr>
              <w:t>Mr Seref Gokay Coskun, Counsellor, Rules Division, WTO</w:t>
            </w:r>
          </w:p>
          <w:p w14:paraId="2DF86406" w14:textId="77777777" w:rsidR="008628B0" w:rsidRPr="008D5211" w:rsidRDefault="008628B0" w:rsidP="008628B0">
            <w:pPr>
              <w:rPr>
                <w:rFonts w:cstheme="minorHAnsi"/>
              </w:rPr>
            </w:pPr>
          </w:p>
        </w:tc>
      </w:tr>
      <w:tr w:rsidR="008628B0" w:rsidRPr="008D5211" w14:paraId="306BBDC2" w14:textId="77777777" w:rsidTr="00A840B7">
        <w:tc>
          <w:tcPr>
            <w:tcW w:w="1560" w:type="dxa"/>
          </w:tcPr>
          <w:p w14:paraId="530661A8" w14:textId="5B00A8A4" w:rsidR="008628B0" w:rsidRDefault="008628B0" w:rsidP="008628B0">
            <w:pPr>
              <w:rPr>
                <w:rFonts w:cstheme="minorHAnsi"/>
              </w:rPr>
            </w:pPr>
            <w:r>
              <w:rPr>
                <w:rFonts w:cstheme="minorHAnsi"/>
              </w:rPr>
              <w:t>11</w:t>
            </w:r>
            <w:r w:rsidR="003A50BD">
              <w:rPr>
                <w:rFonts w:cstheme="minorHAnsi"/>
              </w:rPr>
              <w:t>00</w:t>
            </w:r>
            <w:r>
              <w:rPr>
                <w:rFonts w:cstheme="minorHAnsi"/>
              </w:rPr>
              <w:t>-1</w:t>
            </w:r>
            <w:r w:rsidR="003A50BD">
              <w:rPr>
                <w:rFonts w:cstheme="minorHAnsi"/>
              </w:rPr>
              <w:t>200</w:t>
            </w:r>
          </w:p>
          <w:p w14:paraId="2BE50846" w14:textId="789445DC" w:rsidR="008628B0" w:rsidRDefault="008628B0" w:rsidP="008628B0">
            <w:pPr>
              <w:rPr>
                <w:rFonts w:cstheme="minorHAnsi"/>
              </w:rPr>
            </w:pPr>
            <w:r>
              <w:rPr>
                <w:rFonts w:cstheme="minorHAnsi"/>
              </w:rPr>
              <w:t>(</w:t>
            </w:r>
            <w:r w:rsidR="003A50BD">
              <w:rPr>
                <w:rFonts w:cstheme="minorHAnsi"/>
              </w:rPr>
              <w:t xml:space="preserve">1 hr </w:t>
            </w:r>
            <w:r>
              <w:rPr>
                <w:rFonts w:cstheme="minorHAnsi"/>
              </w:rPr>
              <w:t>)</w:t>
            </w:r>
          </w:p>
        </w:tc>
        <w:tc>
          <w:tcPr>
            <w:tcW w:w="5103" w:type="dxa"/>
          </w:tcPr>
          <w:p w14:paraId="61B8313A" w14:textId="6617BB70" w:rsidR="008628B0" w:rsidRPr="00796058" w:rsidRDefault="008628B0" w:rsidP="008628B0">
            <w:pPr>
              <w:rPr>
                <w:rFonts w:cstheme="minorHAnsi"/>
              </w:rPr>
            </w:pPr>
            <w:r>
              <w:rPr>
                <w:rFonts w:cstheme="minorHAnsi"/>
                <w:b/>
              </w:rPr>
              <w:t xml:space="preserve">Session </w:t>
            </w:r>
            <w:r w:rsidR="003A50BD">
              <w:rPr>
                <w:rFonts w:cstheme="minorHAnsi"/>
                <w:b/>
              </w:rPr>
              <w:t>9</w:t>
            </w:r>
            <w:r>
              <w:rPr>
                <w:rFonts w:cstheme="minorHAnsi"/>
                <w:b/>
              </w:rPr>
              <w:t xml:space="preserve">: </w:t>
            </w:r>
            <w:r w:rsidRPr="008D5211">
              <w:rPr>
                <w:rFonts w:cstheme="minorHAnsi"/>
                <w:b/>
              </w:rPr>
              <w:t xml:space="preserve">Countervailing </w:t>
            </w:r>
            <w:r>
              <w:rPr>
                <w:rFonts w:cstheme="minorHAnsi"/>
                <w:b/>
              </w:rPr>
              <w:t xml:space="preserve">Duty (CVD) </w:t>
            </w:r>
            <w:r w:rsidRPr="008D5211">
              <w:rPr>
                <w:rFonts w:cstheme="minorHAnsi"/>
                <w:b/>
              </w:rPr>
              <w:t xml:space="preserve">Investigation </w:t>
            </w:r>
            <w:r>
              <w:rPr>
                <w:rFonts w:cstheme="minorHAnsi"/>
                <w:b/>
              </w:rPr>
              <w:t>– CVD calculations</w:t>
            </w:r>
          </w:p>
          <w:p w14:paraId="724555E2" w14:textId="77777777" w:rsidR="008628B0" w:rsidRPr="007211BD" w:rsidRDefault="008628B0" w:rsidP="008628B0">
            <w:pPr>
              <w:numPr>
                <w:ilvl w:val="0"/>
                <w:numId w:val="38"/>
              </w:numPr>
              <w:jc w:val="both"/>
              <w:rPr>
                <w:rFonts w:cstheme="minorHAnsi"/>
                <w:lang w:val="en-US"/>
              </w:rPr>
            </w:pPr>
            <w:r w:rsidRPr="007211BD">
              <w:rPr>
                <w:rFonts w:cstheme="minorHAnsi"/>
                <w:lang w:val="en-US"/>
              </w:rPr>
              <w:t>Analysis of hypothetical scenario</w:t>
            </w:r>
            <w:r>
              <w:rPr>
                <w:rFonts w:cstheme="minorHAnsi"/>
                <w:lang w:val="en-US"/>
              </w:rPr>
              <w:t>s</w:t>
            </w:r>
          </w:p>
          <w:p w14:paraId="0C7B24BF" w14:textId="77777777" w:rsidR="008628B0" w:rsidRDefault="008628B0" w:rsidP="008628B0">
            <w:pPr>
              <w:rPr>
                <w:rFonts w:cstheme="minorHAnsi"/>
                <w:b/>
              </w:rPr>
            </w:pPr>
          </w:p>
        </w:tc>
        <w:tc>
          <w:tcPr>
            <w:tcW w:w="2835" w:type="dxa"/>
          </w:tcPr>
          <w:p w14:paraId="4580D59A" w14:textId="77777777" w:rsidR="003A50BD" w:rsidRDefault="003A50BD" w:rsidP="003A50BD">
            <w:pPr>
              <w:rPr>
                <w:rFonts w:cstheme="minorHAnsi"/>
              </w:rPr>
            </w:pPr>
            <w:r w:rsidRPr="000B478D">
              <w:rPr>
                <w:rFonts w:cstheme="minorHAnsi"/>
              </w:rPr>
              <w:t xml:space="preserve">-Mr Paul Piquado, </w:t>
            </w:r>
          </w:p>
          <w:p w14:paraId="7A8F5693" w14:textId="77777777" w:rsidR="003A50BD" w:rsidRDefault="003A50BD" w:rsidP="003A50BD">
            <w:pPr>
              <w:rPr>
                <w:rFonts w:cstheme="minorHAnsi"/>
              </w:rPr>
            </w:pPr>
            <w:r w:rsidRPr="000B478D">
              <w:rPr>
                <w:rFonts w:cstheme="minorHAnsi"/>
              </w:rPr>
              <w:t>Counsellor and Senior Lawyer, Rules Division, WTO</w:t>
            </w:r>
          </w:p>
          <w:p w14:paraId="67F9393D" w14:textId="77777777" w:rsidR="003A50BD" w:rsidRDefault="003A50BD" w:rsidP="003A50BD">
            <w:pPr>
              <w:rPr>
                <w:rFonts w:cstheme="minorHAnsi"/>
              </w:rPr>
            </w:pPr>
          </w:p>
          <w:p w14:paraId="5F15D278" w14:textId="77777777" w:rsidR="003A50BD" w:rsidRPr="000B478D" w:rsidRDefault="003A50BD" w:rsidP="003A50BD">
            <w:pPr>
              <w:rPr>
                <w:rFonts w:cstheme="minorHAnsi"/>
              </w:rPr>
            </w:pPr>
            <w:r>
              <w:rPr>
                <w:rFonts w:cstheme="minorHAnsi"/>
              </w:rPr>
              <w:t>-</w:t>
            </w:r>
            <w:r w:rsidRPr="000B478D">
              <w:rPr>
                <w:rFonts w:cstheme="minorHAnsi"/>
              </w:rPr>
              <w:t>Mr Seref Gokay Coskun, Counsellor, Rules Division, WTO</w:t>
            </w:r>
          </w:p>
          <w:p w14:paraId="6B3D7984" w14:textId="5753D0DF" w:rsidR="008628B0" w:rsidRPr="000B478D" w:rsidRDefault="008628B0" w:rsidP="008628B0">
            <w:pPr>
              <w:rPr>
                <w:rFonts w:cstheme="minorHAnsi"/>
              </w:rPr>
            </w:pPr>
          </w:p>
        </w:tc>
      </w:tr>
      <w:tr w:rsidR="003A50BD" w:rsidRPr="008D5211" w14:paraId="7EAC901B" w14:textId="77777777" w:rsidTr="00A840B7">
        <w:tc>
          <w:tcPr>
            <w:tcW w:w="1560" w:type="dxa"/>
          </w:tcPr>
          <w:p w14:paraId="3BF1C8AD" w14:textId="7AAF143F" w:rsidR="003A50BD" w:rsidRDefault="003A50BD" w:rsidP="008628B0">
            <w:pPr>
              <w:rPr>
                <w:rFonts w:cstheme="minorHAnsi"/>
              </w:rPr>
            </w:pPr>
            <w:r>
              <w:rPr>
                <w:rFonts w:cstheme="minorHAnsi"/>
              </w:rPr>
              <w:t>1200 – 1215</w:t>
            </w:r>
          </w:p>
        </w:tc>
        <w:tc>
          <w:tcPr>
            <w:tcW w:w="5103" w:type="dxa"/>
          </w:tcPr>
          <w:p w14:paraId="00AA6B8E" w14:textId="77777777" w:rsidR="003A50BD" w:rsidRDefault="003A50BD" w:rsidP="003A50BD">
            <w:pPr>
              <w:jc w:val="center"/>
              <w:rPr>
                <w:rFonts w:eastAsia="Malgun Gothic" w:cstheme="minorHAnsi"/>
                <w:b/>
                <w:color w:val="4472C4" w:themeColor="accent1"/>
                <w:kern w:val="2"/>
                <w:lang w:val="en-US" w:eastAsia="ko-KR"/>
              </w:rPr>
            </w:pPr>
            <w:r>
              <w:rPr>
                <w:rFonts w:eastAsia="Malgun Gothic" w:cstheme="minorHAnsi"/>
                <w:b/>
                <w:color w:val="4472C4" w:themeColor="accent1"/>
                <w:kern w:val="2"/>
                <w:lang w:val="en-US" w:eastAsia="ko-KR"/>
              </w:rPr>
              <w:t xml:space="preserve">COFFEE BREAK </w:t>
            </w:r>
          </w:p>
          <w:p w14:paraId="45AC70B6" w14:textId="3F170FC5" w:rsidR="003A50BD" w:rsidRDefault="003A50BD" w:rsidP="008628B0">
            <w:pPr>
              <w:rPr>
                <w:rFonts w:cstheme="minorHAnsi"/>
                <w:b/>
              </w:rPr>
            </w:pPr>
          </w:p>
        </w:tc>
        <w:tc>
          <w:tcPr>
            <w:tcW w:w="2835" w:type="dxa"/>
          </w:tcPr>
          <w:p w14:paraId="02C47D1F" w14:textId="77777777" w:rsidR="003A50BD" w:rsidRDefault="003A50BD" w:rsidP="003A50BD">
            <w:pPr>
              <w:rPr>
                <w:rFonts w:cstheme="minorHAnsi"/>
              </w:rPr>
            </w:pPr>
          </w:p>
          <w:p w14:paraId="00D09B76" w14:textId="77777777" w:rsidR="003A50BD" w:rsidRDefault="003A50BD" w:rsidP="003A50BD">
            <w:pPr>
              <w:rPr>
                <w:rFonts w:cstheme="minorHAnsi"/>
              </w:rPr>
            </w:pPr>
          </w:p>
          <w:p w14:paraId="036CC41F" w14:textId="77777777" w:rsidR="003A50BD" w:rsidRPr="000B478D" w:rsidRDefault="003A50BD" w:rsidP="003A50BD">
            <w:pPr>
              <w:rPr>
                <w:rFonts w:cstheme="minorHAnsi"/>
              </w:rPr>
            </w:pPr>
          </w:p>
        </w:tc>
      </w:tr>
      <w:tr w:rsidR="003A50BD" w:rsidRPr="008D5211" w14:paraId="671A065C" w14:textId="77777777" w:rsidTr="008024CF">
        <w:tc>
          <w:tcPr>
            <w:tcW w:w="9498" w:type="dxa"/>
            <w:gridSpan w:val="3"/>
            <w:shd w:val="clear" w:color="auto" w:fill="B4C6E7" w:themeFill="accent1" w:themeFillTint="66"/>
          </w:tcPr>
          <w:p w14:paraId="1658F27D" w14:textId="0CE6BC9A" w:rsidR="003A50BD" w:rsidRDefault="003A50BD" w:rsidP="008024CF">
            <w:pPr>
              <w:rPr>
                <w:rFonts w:cstheme="minorHAnsi"/>
                <w:b/>
                <w:color w:val="000000" w:themeColor="text1"/>
              </w:rPr>
            </w:pPr>
            <w:r w:rsidRPr="00D0533A">
              <w:rPr>
                <w:rFonts w:cstheme="minorHAnsi"/>
                <w:b/>
                <w:color w:val="000000" w:themeColor="text1"/>
              </w:rPr>
              <w:lastRenderedPageBreak/>
              <w:t xml:space="preserve">MODULE </w:t>
            </w:r>
            <w:r>
              <w:rPr>
                <w:rFonts w:cstheme="minorHAnsi"/>
                <w:b/>
                <w:color w:val="000000" w:themeColor="text1"/>
              </w:rPr>
              <w:t>4</w:t>
            </w:r>
            <w:r w:rsidRPr="00D0533A">
              <w:rPr>
                <w:rFonts w:cstheme="minorHAnsi"/>
                <w:b/>
                <w:color w:val="000000" w:themeColor="text1"/>
              </w:rPr>
              <w:t xml:space="preserve">: </w:t>
            </w:r>
            <w:r>
              <w:rPr>
                <w:rFonts w:cstheme="minorHAnsi"/>
                <w:b/>
                <w:color w:val="000000" w:themeColor="text1"/>
              </w:rPr>
              <w:t>SAFEGUARD MEASURES</w:t>
            </w:r>
          </w:p>
          <w:p w14:paraId="6D5B6AB8" w14:textId="77777777" w:rsidR="003A50BD" w:rsidRPr="008D5211" w:rsidRDefault="003A50BD" w:rsidP="008024CF">
            <w:pPr>
              <w:jc w:val="both"/>
              <w:rPr>
                <w:rFonts w:cstheme="minorHAnsi"/>
              </w:rPr>
            </w:pPr>
            <w:r w:rsidRPr="00AD2D46">
              <w:rPr>
                <w:rFonts w:cstheme="minorHAnsi"/>
                <w:bCs/>
                <w:i/>
                <w:iCs/>
                <w:color w:val="000000" w:themeColor="text1"/>
              </w:rPr>
              <w:t xml:space="preserve">This </w:t>
            </w:r>
            <w:r>
              <w:rPr>
                <w:rFonts w:cstheme="minorHAnsi"/>
                <w:bCs/>
                <w:i/>
                <w:iCs/>
                <w:color w:val="000000" w:themeColor="text1"/>
              </w:rPr>
              <w:t>objective of this module</w:t>
            </w:r>
            <w:r w:rsidRPr="00AD2D46">
              <w:rPr>
                <w:rFonts w:cstheme="minorHAnsi"/>
                <w:bCs/>
                <w:i/>
                <w:iCs/>
                <w:color w:val="000000" w:themeColor="text1"/>
              </w:rPr>
              <w:t xml:space="preserve"> </w:t>
            </w:r>
            <w:r>
              <w:rPr>
                <w:rFonts w:cstheme="minorHAnsi"/>
                <w:bCs/>
                <w:i/>
                <w:iCs/>
                <w:color w:val="000000" w:themeColor="text1"/>
              </w:rPr>
              <w:t xml:space="preserve">is to provide a better understanding of the WTO Safeguards Agreement's </w:t>
            </w:r>
            <w:r w:rsidRPr="00AF5481">
              <w:rPr>
                <w:rFonts w:cstheme="minorHAnsi"/>
                <w:bCs/>
                <w:i/>
                <w:iCs/>
                <w:color w:val="000000" w:themeColor="text1"/>
              </w:rPr>
              <w:t xml:space="preserve"> </w:t>
            </w:r>
            <w:r>
              <w:rPr>
                <w:rFonts w:cstheme="minorHAnsi"/>
                <w:bCs/>
                <w:i/>
                <w:iCs/>
                <w:color w:val="000000" w:themeColor="text1"/>
              </w:rPr>
              <w:t>requirements and procedures.</w:t>
            </w:r>
          </w:p>
        </w:tc>
      </w:tr>
      <w:tr w:rsidR="003A50BD" w:rsidRPr="008D5211" w14:paraId="0FEF8666" w14:textId="77777777" w:rsidTr="00A840B7">
        <w:tc>
          <w:tcPr>
            <w:tcW w:w="1560" w:type="dxa"/>
          </w:tcPr>
          <w:p w14:paraId="4FA677AD" w14:textId="74321775" w:rsidR="003A50BD" w:rsidRDefault="003A50BD" w:rsidP="003A50BD">
            <w:pPr>
              <w:rPr>
                <w:rFonts w:cstheme="minorHAnsi"/>
              </w:rPr>
            </w:pPr>
            <w:r>
              <w:rPr>
                <w:rFonts w:cstheme="minorHAnsi"/>
              </w:rPr>
              <w:t>1215 – 1330</w:t>
            </w:r>
          </w:p>
          <w:p w14:paraId="49AAD914" w14:textId="6ADC1414" w:rsidR="003A50BD" w:rsidRDefault="003A50BD" w:rsidP="003A50BD">
            <w:pPr>
              <w:rPr>
                <w:rFonts w:cstheme="minorHAnsi"/>
              </w:rPr>
            </w:pPr>
            <w:r>
              <w:rPr>
                <w:rFonts w:cstheme="minorHAnsi"/>
              </w:rPr>
              <w:t>(1 hr 15 mins)</w:t>
            </w:r>
          </w:p>
        </w:tc>
        <w:tc>
          <w:tcPr>
            <w:tcW w:w="5103" w:type="dxa"/>
          </w:tcPr>
          <w:p w14:paraId="02C2F290" w14:textId="77777777" w:rsidR="003A50BD" w:rsidRPr="008D5211" w:rsidRDefault="003A50BD" w:rsidP="003A50BD">
            <w:pPr>
              <w:rPr>
                <w:rFonts w:cstheme="minorHAnsi"/>
                <w:b/>
              </w:rPr>
            </w:pPr>
            <w:r>
              <w:rPr>
                <w:rFonts w:cstheme="minorHAnsi"/>
                <w:b/>
              </w:rPr>
              <w:t xml:space="preserve">Session 2: </w:t>
            </w:r>
            <w:r w:rsidRPr="008D5211">
              <w:rPr>
                <w:rFonts w:cstheme="minorHAnsi"/>
                <w:b/>
              </w:rPr>
              <w:t xml:space="preserve">Understanding the WTO Safeguards </w:t>
            </w:r>
            <w:r>
              <w:rPr>
                <w:rFonts w:cstheme="minorHAnsi"/>
                <w:b/>
              </w:rPr>
              <w:t>A</w:t>
            </w:r>
            <w:r w:rsidRPr="008D5211">
              <w:rPr>
                <w:rFonts w:cstheme="minorHAnsi"/>
                <w:b/>
              </w:rPr>
              <w:t xml:space="preserve">greement </w:t>
            </w:r>
          </w:p>
          <w:p w14:paraId="0BE0377C" w14:textId="77777777" w:rsidR="003A50BD" w:rsidRDefault="003A50BD" w:rsidP="003A50BD">
            <w:pPr>
              <w:pStyle w:val="ListParagraph"/>
              <w:numPr>
                <w:ilvl w:val="0"/>
                <w:numId w:val="39"/>
              </w:numPr>
              <w:rPr>
                <w:rFonts w:cstheme="minorHAnsi"/>
                <w:bCs/>
              </w:rPr>
            </w:pPr>
            <w:r>
              <w:rPr>
                <w:rFonts w:cstheme="minorHAnsi"/>
                <w:bCs/>
              </w:rPr>
              <w:t>Some Member-specific data</w:t>
            </w:r>
          </w:p>
          <w:p w14:paraId="33BD5A3B" w14:textId="77777777" w:rsidR="003A50BD" w:rsidRPr="008D5211" w:rsidRDefault="003A50BD" w:rsidP="003A50BD">
            <w:pPr>
              <w:pStyle w:val="ListParagraph"/>
              <w:numPr>
                <w:ilvl w:val="0"/>
                <w:numId w:val="39"/>
              </w:numPr>
              <w:rPr>
                <w:rFonts w:cstheme="minorHAnsi"/>
                <w:bCs/>
              </w:rPr>
            </w:pPr>
            <w:r w:rsidRPr="008D5211">
              <w:rPr>
                <w:rFonts w:cstheme="minorHAnsi"/>
                <w:bCs/>
              </w:rPr>
              <w:t xml:space="preserve">Objective of the </w:t>
            </w:r>
            <w:r>
              <w:rPr>
                <w:rFonts w:cstheme="minorHAnsi"/>
                <w:bCs/>
              </w:rPr>
              <w:t>Agreement</w:t>
            </w:r>
          </w:p>
          <w:p w14:paraId="023B4D2A" w14:textId="77777777" w:rsidR="003A50BD" w:rsidRDefault="003A50BD" w:rsidP="003A50BD">
            <w:pPr>
              <w:pStyle w:val="ListParagraph"/>
              <w:numPr>
                <w:ilvl w:val="0"/>
                <w:numId w:val="39"/>
              </w:numPr>
              <w:rPr>
                <w:rFonts w:cstheme="minorHAnsi"/>
                <w:bCs/>
              </w:rPr>
            </w:pPr>
            <w:r w:rsidRPr="008D5211">
              <w:rPr>
                <w:rFonts w:cstheme="minorHAnsi"/>
                <w:bCs/>
              </w:rPr>
              <w:t>What does it intend to protect?</w:t>
            </w:r>
          </w:p>
          <w:p w14:paraId="380BF047" w14:textId="77777777" w:rsidR="003A50BD" w:rsidRPr="000666CF" w:rsidRDefault="003A50BD" w:rsidP="003A50BD">
            <w:pPr>
              <w:pStyle w:val="ListParagraph"/>
              <w:numPr>
                <w:ilvl w:val="0"/>
                <w:numId w:val="39"/>
              </w:numPr>
              <w:rPr>
                <w:rFonts w:cstheme="minorHAnsi"/>
                <w:bCs/>
              </w:rPr>
            </w:pPr>
            <w:r>
              <w:rPr>
                <w:rFonts w:cstheme="minorHAnsi"/>
                <w:bCs/>
              </w:rPr>
              <w:t>Investigative Requirements: Notice &amp; Procedural Elements</w:t>
            </w:r>
          </w:p>
          <w:p w14:paraId="3D0DB5D7" w14:textId="77777777" w:rsidR="003A50BD" w:rsidRPr="00876F97" w:rsidRDefault="003A50BD" w:rsidP="003A50BD">
            <w:pPr>
              <w:pStyle w:val="ListParagraph"/>
              <w:numPr>
                <w:ilvl w:val="1"/>
                <w:numId w:val="39"/>
              </w:numPr>
              <w:rPr>
                <w:rFonts w:cstheme="minorHAnsi"/>
                <w:bCs/>
              </w:rPr>
            </w:pPr>
            <w:r>
              <w:rPr>
                <w:rFonts w:cstheme="minorHAnsi"/>
                <w:bCs/>
              </w:rPr>
              <w:t>U</w:t>
            </w:r>
            <w:r w:rsidRPr="00876F97">
              <w:rPr>
                <w:rFonts w:cstheme="minorHAnsi"/>
                <w:bCs/>
              </w:rPr>
              <w:t xml:space="preserve">nforeseen developments  </w:t>
            </w:r>
          </w:p>
          <w:p w14:paraId="5205CA54" w14:textId="77777777" w:rsidR="003A50BD" w:rsidRDefault="003A50BD" w:rsidP="003A50BD">
            <w:pPr>
              <w:pStyle w:val="ListParagraph"/>
              <w:numPr>
                <w:ilvl w:val="1"/>
                <w:numId w:val="39"/>
              </w:numPr>
              <w:spacing w:after="160" w:line="259" w:lineRule="auto"/>
              <w:rPr>
                <w:rFonts w:cstheme="minorHAnsi"/>
                <w:bCs/>
              </w:rPr>
            </w:pPr>
            <w:r>
              <w:rPr>
                <w:rFonts w:cstheme="minorHAnsi"/>
                <w:bCs/>
              </w:rPr>
              <w:t xml:space="preserve">Evaluating </w:t>
            </w:r>
            <w:r w:rsidRPr="00876F97">
              <w:rPr>
                <w:rFonts w:cstheme="minorHAnsi"/>
                <w:bCs/>
              </w:rPr>
              <w:t>increased imports</w:t>
            </w:r>
          </w:p>
          <w:p w14:paraId="432FCE75" w14:textId="77777777" w:rsidR="003A50BD" w:rsidRPr="00876F97" w:rsidRDefault="003A50BD" w:rsidP="003A50BD">
            <w:pPr>
              <w:pStyle w:val="ListParagraph"/>
              <w:numPr>
                <w:ilvl w:val="1"/>
                <w:numId w:val="39"/>
              </w:numPr>
              <w:rPr>
                <w:rFonts w:cstheme="minorHAnsi"/>
                <w:bCs/>
              </w:rPr>
            </w:pPr>
            <w:r w:rsidRPr="00876F97">
              <w:rPr>
                <w:rFonts w:cstheme="minorHAnsi"/>
                <w:bCs/>
              </w:rPr>
              <w:t xml:space="preserve"> </w:t>
            </w:r>
            <w:r>
              <w:rPr>
                <w:rFonts w:cstheme="minorHAnsi"/>
                <w:bCs/>
              </w:rPr>
              <w:t>Serious Injury or Threat</w:t>
            </w:r>
          </w:p>
          <w:p w14:paraId="1C104575" w14:textId="77777777" w:rsidR="003A50BD" w:rsidRDefault="003A50BD" w:rsidP="003A50BD">
            <w:pPr>
              <w:pStyle w:val="ListParagraph"/>
              <w:numPr>
                <w:ilvl w:val="1"/>
                <w:numId w:val="39"/>
              </w:numPr>
              <w:rPr>
                <w:rFonts w:cstheme="minorHAnsi"/>
                <w:bCs/>
              </w:rPr>
            </w:pPr>
            <w:r>
              <w:rPr>
                <w:rFonts w:cstheme="minorHAnsi"/>
                <w:bCs/>
              </w:rPr>
              <w:t>'Causal Link'</w:t>
            </w:r>
          </w:p>
          <w:p w14:paraId="37456302" w14:textId="77777777" w:rsidR="003A50BD" w:rsidRPr="008D5211" w:rsidRDefault="003A50BD" w:rsidP="003A50BD">
            <w:pPr>
              <w:pStyle w:val="ListParagraph"/>
              <w:numPr>
                <w:ilvl w:val="1"/>
                <w:numId w:val="39"/>
              </w:numPr>
              <w:rPr>
                <w:rFonts w:cstheme="minorHAnsi"/>
                <w:bCs/>
              </w:rPr>
            </w:pPr>
            <w:r>
              <w:rPr>
                <w:rFonts w:cstheme="minorHAnsi"/>
                <w:bCs/>
              </w:rPr>
              <w:t>Non-Attribution</w:t>
            </w:r>
          </w:p>
          <w:p w14:paraId="7BF424D5" w14:textId="77777777" w:rsidR="003A50BD" w:rsidRDefault="003A50BD" w:rsidP="003A50BD">
            <w:pPr>
              <w:pStyle w:val="ListParagraph"/>
              <w:numPr>
                <w:ilvl w:val="0"/>
                <w:numId w:val="39"/>
              </w:numPr>
              <w:rPr>
                <w:rFonts w:cstheme="minorHAnsi"/>
                <w:bCs/>
              </w:rPr>
            </w:pPr>
            <w:r>
              <w:rPr>
                <w:rFonts w:cstheme="minorHAnsi"/>
                <w:bCs/>
              </w:rPr>
              <w:t>Application of Measures</w:t>
            </w:r>
          </w:p>
          <w:p w14:paraId="6035E8CD" w14:textId="77777777" w:rsidR="003A50BD" w:rsidRDefault="003A50BD" w:rsidP="003A50BD">
            <w:pPr>
              <w:pStyle w:val="ListParagraph"/>
              <w:numPr>
                <w:ilvl w:val="0"/>
                <w:numId w:val="39"/>
              </w:numPr>
              <w:rPr>
                <w:rFonts w:cstheme="minorHAnsi"/>
                <w:bCs/>
              </w:rPr>
            </w:pPr>
            <w:r>
              <w:rPr>
                <w:rFonts w:cstheme="minorHAnsi"/>
                <w:bCs/>
              </w:rPr>
              <w:t>Compensation and Suspension of Concessions</w:t>
            </w:r>
          </w:p>
          <w:p w14:paraId="0F30F032" w14:textId="77777777" w:rsidR="003A50BD" w:rsidRDefault="003A50BD" w:rsidP="003A50BD">
            <w:pPr>
              <w:pStyle w:val="ListParagraph"/>
              <w:numPr>
                <w:ilvl w:val="0"/>
                <w:numId w:val="39"/>
              </w:numPr>
              <w:rPr>
                <w:rFonts w:cstheme="minorHAnsi"/>
                <w:bCs/>
              </w:rPr>
            </w:pPr>
            <w:r>
              <w:rPr>
                <w:rFonts w:cstheme="minorHAnsi"/>
                <w:bCs/>
              </w:rPr>
              <w:t xml:space="preserve">Special &amp; Differential Treatment </w:t>
            </w:r>
          </w:p>
          <w:p w14:paraId="3A569F7F" w14:textId="35C480E1" w:rsidR="003A50BD" w:rsidRDefault="003A50BD" w:rsidP="003A50BD">
            <w:pPr>
              <w:jc w:val="both"/>
              <w:rPr>
                <w:rFonts w:cstheme="minorHAnsi"/>
                <w:b/>
                <w:lang w:val="en-GB"/>
              </w:rPr>
            </w:pPr>
          </w:p>
        </w:tc>
        <w:tc>
          <w:tcPr>
            <w:tcW w:w="2835" w:type="dxa"/>
          </w:tcPr>
          <w:p w14:paraId="0E5DCDC3" w14:textId="77777777" w:rsidR="003A50BD" w:rsidRDefault="003A50BD" w:rsidP="003A50BD">
            <w:pPr>
              <w:rPr>
                <w:rFonts w:cstheme="minorHAnsi"/>
              </w:rPr>
            </w:pPr>
            <w:r w:rsidRPr="000B478D">
              <w:rPr>
                <w:rFonts w:cstheme="minorHAnsi"/>
              </w:rPr>
              <w:t xml:space="preserve">-Mr Paul Piquado, </w:t>
            </w:r>
          </w:p>
          <w:p w14:paraId="3FAB7A5F" w14:textId="77777777" w:rsidR="003A50BD" w:rsidRDefault="003A50BD" w:rsidP="003A50BD">
            <w:pPr>
              <w:rPr>
                <w:rFonts w:cstheme="minorHAnsi"/>
              </w:rPr>
            </w:pPr>
            <w:r w:rsidRPr="000B478D">
              <w:rPr>
                <w:rFonts w:cstheme="minorHAnsi"/>
              </w:rPr>
              <w:t>Counsellor and Senior Lawyer, Rules Division, WTO</w:t>
            </w:r>
          </w:p>
          <w:p w14:paraId="308261C2" w14:textId="77777777" w:rsidR="003A50BD" w:rsidRDefault="003A50BD" w:rsidP="003A50BD">
            <w:pPr>
              <w:rPr>
                <w:rFonts w:cstheme="minorHAnsi"/>
              </w:rPr>
            </w:pPr>
          </w:p>
          <w:p w14:paraId="14ED21C0" w14:textId="77777777" w:rsidR="003A50BD" w:rsidRPr="000B478D" w:rsidRDefault="003A50BD" w:rsidP="003A50BD">
            <w:pPr>
              <w:rPr>
                <w:rFonts w:cstheme="minorHAnsi"/>
              </w:rPr>
            </w:pPr>
            <w:r>
              <w:rPr>
                <w:rFonts w:cstheme="minorHAnsi"/>
              </w:rPr>
              <w:t>-</w:t>
            </w:r>
            <w:r w:rsidRPr="000B478D">
              <w:rPr>
                <w:rFonts w:cstheme="minorHAnsi"/>
              </w:rPr>
              <w:t>Mr Seref Gokay Coskun, Counsellor, Rules Division, WTO</w:t>
            </w:r>
          </w:p>
          <w:p w14:paraId="28318CB3" w14:textId="77777777" w:rsidR="003A50BD" w:rsidRPr="000B478D" w:rsidRDefault="003A50BD" w:rsidP="003A50BD">
            <w:pPr>
              <w:rPr>
                <w:rFonts w:cstheme="minorHAnsi"/>
              </w:rPr>
            </w:pPr>
          </w:p>
        </w:tc>
      </w:tr>
      <w:tr w:rsidR="003A50BD" w:rsidRPr="008D5211" w14:paraId="23CD06FF" w14:textId="77777777" w:rsidTr="00A840B7">
        <w:tc>
          <w:tcPr>
            <w:tcW w:w="1560" w:type="dxa"/>
          </w:tcPr>
          <w:p w14:paraId="088BB214" w14:textId="2E9E7937" w:rsidR="003A50BD" w:rsidRDefault="003A50BD" w:rsidP="003A50BD">
            <w:pPr>
              <w:rPr>
                <w:rFonts w:cstheme="minorHAnsi"/>
              </w:rPr>
            </w:pPr>
            <w:r>
              <w:rPr>
                <w:rFonts w:cstheme="minorHAnsi"/>
              </w:rPr>
              <w:t>1330 – 1400</w:t>
            </w:r>
          </w:p>
        </w:tc>
        <w:tc>
          <w:tcPr>
            <w:tcW w:w="5103" w:type="dxa"/>
          </w:tcPr>
          <w:p w14:paraId="723B69DA" w14:textId="532A0D57" w:rsidR="003A50BD" w:rsidRDefault="003A50BD" w:rsidP="003A50BD">
            <w:pPr>
              <w:jc w:val="both"/>
              <w:rPr>
                <w:rFonts w:cstheme="minorHAnsi"/>
                <w:b/>
                <w:lang w:val="en-GB"/>
              </w:rPr>
            </w:pPr>
            <w:r>
              <w:rPr>
                <w:rFonts w:cstheme="minorHAnsi"/>
                <w:b/>
                <w:lang w:val="en-GB"/>
              </w:rPr>
              <w:t>Wrap-up and Q&amp;A</w:t>
            </w:r>
          </w:p>
        </w:tc>
        <w:tc>
          <w:tcPr>
            <w:tcW w:w="2835" w:type="dxa"/>
          </w:tcPr>
          <w:p w14:paraId="6C58C010" w14:textId="77777777" w:rsidR="003A50BD" w:rsidRPr="000B478D" w:rsidRDefault="003A50BD" w:rsidP="003A50BD">
            <w:pPr>
              <w:rPr>
                <w:rFonts w:cstheme="minorHAnsi"/>
              </w:rPr>
            </w:pPr>
          </w:p>
        </w:tc>
      </w:tr>
      <w:tr w:rsidR="003A50BD" w:rsidRPr="008D5211" w14:paraId="48CBBEA1" w14:textId="77777777" w:rsidTr="00055AD7">
        <w:tc>
          <w:tcPr>
            <w:tcW w:w="9498" w:type="dxa"/>
            <w:gridSpan w:val="3"/>
            <w:shd w:val="clear" w:color="auto" w:fill="000000" w:themeFill="text1"/>
          </w:tcPr>
          <w:p w14:paraId="3307AEDA" w14:textId="06033563" w:rsidR="003A50BD" w:rsidRPr="008D5211" w:rsidRDefault="003A50BD" w:rsidP="003A50BD">
            <w:pPr>
              <w:widowControl w:val="0"/>
              <w:wordWrap w:val="0"/>
              <w:autoSpaceDE w:val="0"/>
              <w:autoSpaceDN w:val="0"/>
              <w:rPr>
                <w:rFonts w:cstheme="minorHAnsi"/>
                <w:kern w:val="2"/>
                <w:lang w:val="en-US"/>
              </w:rPr>
            </w:pPr>
            <w:r w:rsidRPr="00B67A54">
              <w:rPr>
                <w:rFonts w:cstheme="minorHAnsi"/>
                <w:b/>
                <w:bCs/>
                <w:color w:val="FFFFFF" w:themeColor="background1"/>
                <w:sz w:val="24"/>
                <w:szCs w:val="24"/>
              </w:rPr>
              <w:t xml:space="preserve">Day </w:t>
            </w:r>
            <w:r>
              <w:rPr>
                <w:rFonts w:cstheme="minorHAnsi"/>
                <w:b/>
                <w:bCs/>
                <w:color w:val="FFFFFF" w:themeColor="background1"/>
                <w:sz w:val="24"/>
                <w:szCs w:val="24"/>
              </w:rPr>
              <w:t>4</w:t>
            </w:r>
            <w:r w:rsidRPr="00B67A54">
              <w:rPr>
                <w:rFonts w:cstheme="minorHAnsi"/>
                <w:b/>
                <w:bCs/>
                <w:color w:val="FFFFFF" w:themeColor="background1"/>
                <w:sz w:val="24"/>
                <w:szCs w:val="24"/>
              </w:rPr>
              <w:t xml:space="preserve">: </w:t>
            </w:r>
            <w:r>
              <w:rPr>
                <w:rFonts w:cstheme="minorHAnsi"/>
                <w:b/>
                <w:bCs/>
                <w:color w:val="FFFFFF" w:themeColor="background1"/>
                <w:sz w:val="24"/>
                <w:szCs w:val="24"/>
              </w:rPr>
              <w:t>(0800-1</w:t>
            </w:r>
            <w:r w:rsidR="00FD2AA5">
              <w:rPr>
                <w:rFonts w:cstheme="minorHAnsi"/>
                <w:b/>
                <w:bCs/>
                <w:color w:val="FFFFFF" w:themeColor="background1"/>
                <w:sz w:val="24"/>
                <w:szCs w:val="24"/>
              </w:rPr>
              <w:t>2</w:t>
            </w:r>
            <w:r>
              <w:rPr>
                <w:rFonts w:cstheme="minorHAnsi"/>
                <w:b/>
                <w:bCs/>
                <w:color w:val="FFFFFF" w:themeColor="background1"/>
                <w:sz w:val="24"/>
                <w:szCs w:val="24"/>
              </w:rPr>
              <w:t>00)</w:t>
            </w:r>
          </w:p>
        </w:tc>
      </w:tr>
      <w:tr w:rsidR="003A50BD" w:rsidRPr="008D5211" w14:paraId="61B1AAFC" w14:textId="77777777" w:rsidTr="0095632E">
        <w:tc>
          <w:tcPr>
            <w:tcW w:w="9498" w:type="dxa"/>
            <w:gridSpan w:val="3"/>
            <w:shd w:val="clear" w:color="auto" w:fill="B4C6E7" w:themeFill="accent1" w:themeFillTint="66"/>
          </w:tcPr>
          <w:p w14:paraId="6AD4D01E" w14:textId="4725F426" w:rsidR="00FD2AA5" w:rsidRDefault="003A50BD" w:rsidP="003A50BD">
            <w:pPr>
              <w:rPr>
                <w:rFonts w:cstheme="minorHAnsi"/>
                <w:b/>
                <w:color w:val="000000" w:themeColor="text1"/>
              </w:rPr>
            </w:pPr>
            <w:r w:rsidRPr="00D0533A">
              <w:rPr>
                <w:rFonts w:cstheme="minorHAnsi"/>
                <w:b/>
                <w:color w:val="000000" w:themeColor="text1"/>
              </w:rPr>
              <w:t xml:space="preserve">MODULE </w:t>
            </w:r>
            <w:r w:rsidR="00FD2AA5">
              <w:rPr>
                <w:rFonts w:cstheme="minorHAnsi"/>
                <w:b/>
                <w:color w:val="000000" w:themeColor="text1"/>
              </w:rPr>
              <w:t>5</w:t>
            </w:r>
            <w:r w:rsidRPr="00D0533A">
              <w:rPr>
                <w:rFonts w:cstheme="minorHAnsi"/>
                <w:b/>
                <w:color w:val="000000" w:themeColor="text1"/>
              </w:rPr>
              <w:t xml:space="preserve">: </w:t>
            </w:r>
            <w:r w:rsidR="00FD2AA5">
              <w:rPr>
                <w:rFonts w:cstheme="minorHAnsi"/>
                <w:b/>
                <w:color w:val="000000" w:themeColor="text1"/>
              </w:rPr>
              <w:t>ADVANCED TECHNICAL WORK ON ANTI-DUMPING INVESTIGATIONS</w:t>
            </w:r>
          </w:p>
          <w:p w14:paraId="6413ABC6" w14:textId="16141F9D" w:rsidR="003A50BD" w:rsidRPr="00B67A54" w:rsidRDefault="003A50BD" w:rsidP="003A50BD">
            <w:pPr>
              <w:jc w:val="both"/>
              <w:rPr>
                <w:rFonts w:cstheme="minorHAnsi"/>
                <w:b/>
                <w:bCs/>
                <w:color w:val="FFFFFF" w:themeColor="background1"/>
                <w:sz w:val="24"/>
                <w:szCs w:val="24"/>
              </w:rPr>
            </w:pPr>
          </w:p>
        </w:tc>
      </w:tr>
      <w:tr w:rsidR="003A50BD" w:rsidRPr="008D5211" w14:paraId="075E6FC8" w14:textId="77777777" w:rsidTr="00A840B7">
        <w:tc>
          <w:tcPr>
            <w:tcW w:w="1560" w:type="dxa"/>
          </w:tcPr>
          <w:p w14:paraId="3A365370" w14:textId="7A3A6D67" w:rsidR="003A50BD" w:rsidRDefault="00FD2AA5" w:rsidP="003A50BD">
            <w:pPr>
              <w:rPr>
                <w:rFonts w:cstheme="minorHAnsi"/>
              </w:rPr>
            </w:pPr>
            <w:r>
              <w:rPr>
                <w:rFonts w:cstheme="minorHAnsi"/>
              </w:rPr>
              <w:t>08</w:t>
            </w:r>
            <w:r w:rsidR="003A50BD">
              <w:rPr>
                <w:rFonts w:cstheme="minorHAnsi"/>
              </w:rPr>
              <w:t>00-</w:t>
            </w:r>
            <w:r>
              <w:rPr>
                <w:rFonts w:cstheme="minorHAnsi"/>
              </w:rPr>
              <w:t>1000</w:t>
            </w:r>
          </w:p>
          <w:p w14:paraId="60CE4230" w14:textId="4D056ABA" w:rsidR="003A50BD" w:rsidRPr="008D5211" w:rsidRDefault="003A50BD" w:rsidP="003A50BD">
            <w:pPr>
              <w:rPr>
                <w:rFonts w:cstheme="minorHAnsi"/>
              </w:rPr>
            </w:pPr>
            <w:r>
              <w:rPr>
                <w:rFonts w:cstheme="minorHAnsi"/>
              </w:rPr>
              <w:t>(</w:t>
            </w:r>
            <w:r w:rsidR="00FD2AA5">
              <w:rPr>
                <w:rFonts w:cstheme="minorHAnsi"/>
              </w:rPr>
              <w:t>2 hours</w:t>
            </w:r>
            <w:r>
              <w:rPr>
                <w:rFonts w:cstheme="minorHAnsi"/>
              </w:rPr>
              <w:t>)</w:t>
            </w:r>
          </w:p>
        </w:tc>
        <w:tc>
          <w:tcPr>
            <w:tcW w:w="5103" w:type="dxa"/>
          </w:tcPr>
          <w:p w14:paraId="449FBEA1" w14:textId="161E851F" w:rsidR="00FD2AA5" w:rsidRDefault="00FD2AA5" w:rsidP="00FD2AA5">
            <w:pPr>
              <w:rPr>
                <w:b/>
                <w:lang w:val="en-GB"/>
              </w:rPr>
            </w:pPr>
            <w:r w:rsidRPr="006B4CA0">
              <w:rPr>
                <w:b/>
                <w:lang w:val="en-GB"/>
              </w:rPr>
              <w:t>Exercises, group work</w:t>
            </w:r>
          </w:p>
          <w:p w14:paraId="3F610606" w14:textId="77777777" w:rsidR="00FD2AA5" w:rsidRPr="005F339E" w:rsidRDefault="00FD2AA5" w:rsidP="00FD2AA5">
            <w:pPr>
              <w:numPr>
                <w:ilvl w:val="1"/>
                <w:numId w:val="21"/>
              </w:numPr>
              <w:ind w:left="604" w:hanging="283"/>
              <w:rPr>
                <w:lang w:val="en-US"/>
              </w:rPr>
            </w:pPr>
            <w:r w:rsidRPr="005F339E">
              <w:rPr>
                <w:lang w:val="en-US"/>
              </w:rPr>
              <w:t>Analysis of hypothetical cases to determine the existence of dumping</w:t>
            </w:r>
          </w:p>
          <w:p w14:paraId="0830DE5D" w14:textId="77777777" w:rsidR="00FD2AA5" w:rsidRPr="00DA745F" w:rsidRDefault="00FD2AA5" w:rsidP="00FD2AA5">
            <w:pPr>
              <w:numPr>
                <w:ilvl w:val="1"/>
                <w:numId w:val="21"/>
              </w:numPr>
              <w:ind w:left="604" w:hanging="283"/>
              <w:rPr>
                <w:b/>
                <w:lang w:val="en-GB"/>
              </w:rPr>
            </w:pPr>
            <w:r w:rsidRPr="00DA745F">
              <w:rPr>
                <w:lang w:val="en-US"/>
              </w:rPr>
              <w:t>Computer-based simulation to calculate a dumping margin</w:t>
            </w:r>
          </w:p>
          <w:p w14:paraId="244F0348" w14:textId="4BB0CC1A" w:rsidR="003A50BD" w:rsidRPr="00FD2AA5" w:rsidRDefault="003A50BD" w:rsidP="00FD2AA5">
            <w:pPr>
              <w:ind w:left="360"/>
              <w:jc w:val="both"/>
              <w:rPr>
                <w:rFonts w:cstheme="minorHAnsi"/>
                <w:lang w:val="en-GB"/>
              </w:rPr>
            </w:pPr>
          </w:p>
        </w:tc>
        <w:tc>
          <w:tcPr>
            <w:tcW w:w="2835" w:type="dxa"/>
          </w:tcPr>
          <w:p w14:paraId="036A7068" w14:textId="77777777" w:rsidR="00FD2AA5" w:rsidRDefault="00FD2AA5" w:rsidP="00FD2AA5">
            <w:pPr>
              <w:rPr>
                <w:rFonts w:cstheme="minorHAnsi"/>
              </w:rPr>
            </w:pPr>
            <w:r w:rsidRPr="000B478D">
              <w:rPr>
                <w:rFonts w:cstheme="minorHAnsi"/>
              </w:rPr>
              <w:t xml:space="preserve">-Mr Paul Piquado, </w:t>
            </w:r>
          </w:p>
          <w:p w14:paraId="2566FC7B" w14:textId="77777777" w:rsidR="00FD2AA5" w:rsidRDefault="00FD2AA5" w:rsidP="00FD2AA5">
            <w:pPr>
              <w:rPr>
                <w:rFonts w:cstheme="minorHAnsi"/>
              </w:rPr>
            </w:pPr>
            <w:r w:rsidRPr="000B478D">
              <w:rPr>
                <w:rFonts w:cstheme="minorHAnsi"/>
              </w:rPr>
              <w:t>Counsellor and Senior Lawyer, Rules Division, WTO</w:t>
            </w:r>
          </w:p>
          <w:p w14:paraId="7AF0C516" w14:textId="77777777" w:rsidR="00FD2AA5" w:rsidRDefault="00FD2AA5" w:rsidP="00FD2AA5">
            <w:pPr>
              <w:rPr>
                <w:rFonts w:cstheme="minorHAnsi"/>
              </w:rPr>
            </w:pPr>
          </w:p>
          <w:p w14:paraId="01C5C4FF" w14:textId="77777777" w:rsidR="00FD2AA5" w:rsidRPr="000B478D" w:rsidRDefault="00FD2AA5" w:rsidP="00FD2AA5">
            <w:pPr>
              <w:rPr>
                <w:rFonts w:cstheme="minorHAnsi"/>
              </w:rPr>
            </w:pPr>
            <w:r>
              <w:rPr>
                <w:rFonts w:cstheme="minorHAnsi"/>
              </w:rPr>
              <w:t>-</w:t>
            </w:r>
            <w:r w:rsidRPr="000B478D">
              <w:rPr>
                <w:rFonts w:cstheme="minorHAnsi"/>
              </w:rPr>
              <w:t>Mr Seref Gokay Coskun, Counsellor, Rules Division, WTO</w:t>
            </w:r>
          </w:p>
          <w:p w14:paraId="063DAE90" w14:textId="120275B6" w:rsidR="003A50BD" w:rsidRPr="008D5211" w:rsidRDefault="003A50BD" w:rsidP="003A50BD">
            <w:pPr>
              <w:rPr>
                <w:rFonts w:cstheme="minorHAnsi"/>
              </w:rPr>
            </w:pPr>
          </w:p>
        </w:tc>
      </w:tr>
      <w:tr w:rsidR="00FD2AA5" w:rsidRPr="008D5211" w14:paraId="2A969346" w14:textId="77777777" w:rsidTr="00A840B7">
        <w:tc>
          <w:tcPr>
            <w:tcW w:w="1560" w:type="dxa"/>
          </w:tcPr>
          <w:p w14:paraId="4BA1183D" w14:textId="77777777" w:rsidR="00FD2AA5" w:rsidRDefault="00FD2AA5" w:rsidP="003A50BD">
            <w:pPr>
              <w:rPr>
                <w:rFonts w:cstheme="minorHAnsi"/>
              </w:rPr>
            </w:pPr>
            <w:r>
              <w:rPr>
                <w:rFonts w:cstheme="minorHAnsi"/>
              </w:rPr>
              <w:t>1000 – 1030</w:t>
            </w:r>
          </w:p>
          <w:p w14:paraId="364274BA" w14:textId="56CD32B4" w:rsidR="00FD2AA5" w:rsidRDefault="00FD2AA5" w:rsidP="003A50BD">
            <w:pPr>
              <w:rPr>
                <w:rFonts w:cstheme="minorHAnsi"/>
              </w:rPr>
            </w:pPr>
            <w:r>
              <w:rPr>
                <w:rFonts w:cstheme="minorHAnsi"/>
              </w:rPr>
              <w:t>(30 mins)</w:t>
            </w:r>
          </w:p>
        </w:tc>
        <w:tc>
          <w:tcPr>
            <w:tcW w:w="5103" w:type="dxa"/>
          </w:tcPr>
          <w:p w14:paraId="12FCD64D" w14:textId="77777777" w:rsidR="00FD2AA5" w:rsidRDefault="00FD2AA5" w:rsidP="00FD2AA5">
            <w:pPr>
              <w:jc w:val="center"/>
              <w:rPr>
                <w:rFonts w:eastAsia="Malgun Gothic" w:cstheme="minorHAnsi"/>
                <w:b/>
                <w:color w:val="4472C4" w:themeColor="accent1"/>
                <w:kern w:val="2"/>
                <w:lang w:val="en-US" w:eastAsia="ko-KR"/>
              </w:rPr>
            </w:pPr>
            <w:r>
              <w:rPr>
                <w:rFonts w:eastAsia="Malgun Gothic" w:cstheme="minorHAnsi"/>
                <w:b/>
                <w:color w:val="4472C4" w:themeColor="accent1"/>
                <w:kern w:val="2"/>
                <w:lang w:val="en-US" w:eastAsia="ko-KR"/>
              </w:rPr>
              <w:t xml:space="preserve">COFFEE BREAK </w:t>
            </w:r>
          </w:p>
          <w:p w14:paraId="2E84C8E1" w14:textId="77777777" w:rsidR="00FD2AA5" w:rsidRPr="006B4CA0" w:rsidRDefault="00FD2AA5" w:rsidP="00FD2AA5">
            <w:pPr>
              <w:rPr>
                <w:b/>
                <w:lang w:val="en-GB"/>
              </w:rPr>
            </w:pPr>
          </w:p>
        </w:tc>
        <w:tc>
          <w:tcPr>
            <w:tcW w:w="2835" w:type="dxa"/>
          </w:tcPr>
          <w:p w14:paraId="371B3A41" w14:textId="77777777" w:rsidR="00FD2AA5" w:rsidRPr="000B478D" w:rsidRDefault="00FD2AA5" w:rsidP="00FD2AA5">
            <w:pPr>
              <w:rPr>
                <w:rFonts w:cstheme="minorHAnsi"/>
              </w:rPr>
            </w:pPr>
          </w:p>
        </w:tc>
      </w:tr>
      <w:tr w:rsidR="003A50BD" w:rsidRPr="008D5211" w14:paraId="7ACFE181" w14:textId="77777777" w:rsidTr="00A840B7">
        <w:tc>
          <w:tcPr>
            <w:tcW w:w="1560" w:type="dxa"/>
          </w:tcPr>
          <w:p w14:paraId="58FE6071" w14:textId="074DF315" w:rsidR="003A50BD" w:rsidRDefault="003A50BD" w:rsidP="003A50BD">
            <w:pPr>
              <w:rPr>
                <w:rFonts w:cstheme="minorHAnsi"/>
              </w:rPr>
            </w:pPr>
            <w:r>
              <w:rPr>
                <w:rFonts w:cstheme="minorHAnsi"/>
              </w:rPr>
              <w:t>1</w:t>
            </w:r>
            <w:r w:rsidR="00FD2AA5">
              <w:rPr>
                <w:rFonts w:cstheme="minorHAnsi"/>
              </w:rPr>
              <w:t>030</w:t>
            </w:r>
            <w:r>
              <w:rPr>
                <w:rFonts w:cstheme="minorHAnsi"/>
              </w:rPr>
              <w:t>-11</w:t>
            </w:r>
            <w:r w:rsidR="00FD2AA5">
              <w:rPr>
                <w:rFonts w:cstheme="minorHAnsi"/>
              </w:rPr>
              <w:t>30</w:t>
            </w:r>
          </w:p>
          <w:p w14:paraId="4CF2F83D" w14:textId="2316FC10" w:rsidR="003A50BD" w:rsidRPr="008D5211" w:rsidRDefault="00FD2AA5" w:rsidP="003A50BD">
            <w:pPr>
              <w:rPr>
                <w:rFonts w:cstheme="minorHAnsi"/>
              </w:rPr>
            </w:pPr>
            <w:r>
              <w:rPr>
                <w:rFonts w:cstheme="minorHAnsi"/>
              </w:rPr>
              <w:t>(1 hour)</w:t>
            </w:r>
          </w:p>
        </w:tc>
        <w:tc>
          <w:tcPr>
            <w:tcW w:w="5103" w:type="dxa"/>
          </w:tcPr>
          <w:p w14:paraId="00B08810" w14:textId="4D2AF95F" w:rsidR="003A50BD" w:rsidRPr="006E5B4F" w:rsidRDefault="00FD2AA5" w:rsidP="003A50BD">
            <w:pPr>
              <w:rPr>
                <w:rFonts w:cstheme="minorHAnsi"/>
                <w:b/>
                <w:lang w:val="en-GB"/>
              </w:rPr>
            </w:pPr>
            <w:r>
              <w:rPr>
                <w:rFonts w:cstheme="minorHAnsi"/>
                <w:b/>
              </w:rPr>
              <w:t>Q&amp;A Session with the GCC Secretariat</w:t>
            </w:r>
          </w:p>
          <w:p w14:paraId="0A0AEAA2" w14:textId="77777777" w:rsidR="003A50BD" w:rsidRPr="008D5211" w:rsidRDefault="003A50BD" w:rsidP="003A50BD"/>
        </w:tc>
        <w:tc>
          <w:tcPr>
            <w:tcW w:w="2835" w:type="dxa"/>
          </w:tcPr>
          <w:p w14:paraId="5FD7F49C" w14:textId="04AD7E78" w:rsidR="003A50BD" w:rsidRPr="008D5211" w:rsidRDefault="003A50BD" w:rsidP="003A50BD">
            <w:pPr>
              <w:rPr>
                <w:rFonts w:cstheme="minorHAnsi"/>
              </w:rPr>
            </w:pPr>
          </w:p>
        </w:tc>
      </w:tr>
      <w:tr w:rsidR="003A50BD" w:rsidRPr="008D5211" w14:paraId="127E0BAB" w14:textId="77777777" w:rsidTr="00A840B7">
        <w:tc>
          <w:tcPr>
            <w:tcW w:w="1560" w:type="dxa"/>
          </w:tcPr>
          <w:p w14:paraId="79398BA9" w14:textId="018AFC53" w:rsidR="003A50BD" w:rsidRDefault="00FD2AA5" w:rsidP="003A50BD">
            <w:pPr>
              <w:rPr>
                <w:rFonts w:cstheme="minorHAnsi"/>
              </w:rPr>
            </w:pPr>
            <w:r>
              <w:rPr>
                <w:rFonts w:cstheme="minorHAnsi"/>
              </w:rPr>
              <w:t>1130 - 1200</w:t>
            </w:r>
          </w:p>
          <w:p w14:paraId="16730D70" w14:textId="55E2F151" w:rsidR="003A50BD" w:rsidRDefault="003A50BD" w:rsidP="003A50BD">
            <w:pPr>
              <w:rPr>
                <w:rFonts w:cstheme="minorHAnsi"/>
              </w:rPr>
            </w:pPr>
            <w:r>
              <w:rPr>
                <w:rFonts w:cstheme="minorHAnsi"/>
              </w:rPr>
              <w:t>(30 mins)</w:t>
            </w:r>
          </w:p>
        </w:tc>
        <w:tc>
          <w:tcPr>
            <w:tcW w:w="5103" w:type="dxa"/>
          </w:tcPr>
          <w:p w14:paraId="1F8C696A" w14:textId="65AE890A" w:rsidR="003A50BD" w:rsidRPr="00C85177" w:rsidRDefault="003A50BD" w:rsidP="003A50BD">
            <w:pPr>
              <w:rPr>
                <w:rFonts w:cstheme="minorHAnsi"/>
                <w:b/>
              </w:rPr>
            </w:pPr>
            <w:r>
              <w:rPr>
                <w:rFonts w:cstheme="minorHAnsi"/>
                <w:b/>
              </w:rPr>
              <w:t>WRAP-UP SESSION</w:t>
            </w:r>
          </w:p>
          <w:p w14:paraId="68B4C03A" w14:textId="6C113D72" w:rsidR="003A50BD" w:rsidRPr="008614E2" w:rsidRDefault="003A50BD" w:rsidP="003A50BD">
            <w:pPr>
              <w:pStyle w:val="ListParagraph"/>
              <w:numPr>
                <w:ilvl w:val="0"/>
                <w:numId w:val="40"/>
              </w:numPr>
              <w:rPr>
                <w:rFonts w:cstheme="minorHAnsi"/>
                <w:bCs/>
              </w:rPr>
            </w:pPr>
            <w:r w:rsidRPr="008614E2">
              <w:rPr>
                <w:rFonts w:cstheme="minorHAnsi"/>
                <w:bCs/>
              </w:rPr>
              <w:t>Participants to complete the feedback/evaluation forms</w:t>
            </w:r>
          </w:p>
          <w:p w14:paraId="56D73B75" w14:textId="4423D169" w:rsidR="003A50BD" w:rsidRDefault="003A50BD" w:rsidP="00FD2AA5">
            <w:pPr>
              <w:pStyle w:val="ListParagraph"/>
              <w:ind w:left="360"/>
              <w:rPr>
                <w:rFonts w:cstheme="minorHAnsi"/>
                <w:b/>
              </w:rPr>
            </w:pPr>
          </w:p>
        </w:tc>
        <w:tc>
          <w:tcPr>
            <w:tcW w:w="2835" w:type="dxa"/>
          </w:tcPr>
          <w:p w14:paraId="1A10D312" w14:textId="687D300A" w:rsidR="003A50BD" w:rsidRPr="008D5211" w:rsidRDefault="003A50BD" w:rsidP="003A50BD">
            <w:pPr>
              <w:rPr>
                <w:rFonts w:cstheme="minorHAnsi"/>
              </w:rPr>
            </w:pPr>
          </w:p>
        </w:tc>
      </w:tr>
    </w:tbl>
    <w:p w14:paraId="395B8587" w14:textId="77777777" w:rsidR="0057703C" w:rsidRPr="008D5211" w:rsidRDefault="0057703C">
      <w:pPr>
        <w:rPr>
          <w:rFonts w:cstheme="minorHAnsi"/>
        </w:rPr>
      </w:pPr>
    </w:p>
    <w:sectPr w:rsidR="0057703C" w:rsidRPr="008D5211" w:rsidSect="001447F5">
      <w:headerReference w:type="default" r:id="rId7"/>
      <w:footerReference w:type="default" r:id="rId8"/>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199DA" w14:textId="77777777" w:rsidR="00051081" w:rsidRDefault="00051081" w:rsidP="007F60FE">
      <w:pPr>
        <w:spacing w:after="0" w:line="240" w:lineRule="auto"/>
      </w:pPr>
      <w:r>
        <w:separator/>
      </w:r>
    </w:p>
  </w:endnote>
  <w:endnote w:type="continuationSeparator" w:id="0">
    <w:p w14:paraId="73EB7354" w14:textId="77777777" w:rsidR="00051081" w:rsidRDefault="00051081" w:rsidP="007F60FE">
      <w:pPr>
        <w:spacing w:after="0" w:line="240" w:lineRule="auto"/>
      </w:pPr>
      <w:r>
        <w:continuationSeparator/>
      </w:r>
    </w:p>
  </w:endnote>
  <w:endnote w:type="continuationNotice" w:id="1">
    <w:p w14:paraId="63067E67" w14:textId="77777777" w:rsidR="00051081" w:rsidRDefault="000510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ED5B6" w14:textId="77777777" w:rsidR="00A52B4D" w:rsidRDefault="00A52B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75865" w14:textId="77777777" w:rsidR="00051081" w:rsidRDefault="00051081" w:rsidP="007F60FE">
      <w:pPr>
        <w:spacing w:after="0" w:line="240" w:lineRule="auto"/>
      </w:pPr>
      <w:r>
        <w:separator/>
      </w:r>
    </w:p>
  </w:footnote>
  <w:footnote w:type="continuationSeparator" w:id="0">
    <w:p w14:paraId="42D3185F" w14:textId="77777777" w:rsidR="00051081" w:rsidRDefault="00051081" w:rsidP="007F60FE">
      <w:pPr>
        <w:spacing w:after="0" w:line="240" w:lineRule="auto"/>
      </w:pPr>
      <w:r>
        <w:continuationSeparator/>
      </w:r>
    </w:p>
  </w:footnote>
  <w:footnote w:type="continuationNotice" w:id="1">
    <w:p w14:paraId="3207203B" w14:textId="77777777" w:rsidR="00051081" w:rsidRDefault="000510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C9614" w14:textId="77777777" w:rsidR="00A52B4D" w:rsidRDefault="00A52B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C4527"/>
    <w:multiLevelType w:val="hybridMultilevel"/>
    <w:tmpl w:val="196C831C"/>
    <w:lvl w:ilvl="0" w:tplc="48090003">
      <w:start w:val="1"/>
      <w:numFmt w:val="bullet"/>
      <w:lvlText w:val="o"/>
      <w:lvlJc w:val="left"/>
      <w:pPr>
        <w:tabs>
          <w:tab w:val="num" w:pos="360"/>
        </w:tabs>
        <w:ind w:left="360" w:hanging="360"/>
      </w:pPr>
      <w:rPr>
        <w:rFonts w:ascii="Courier New" w:hAnsi="Courier New" w:cs="Courier New"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586DCF"/>
    <w:multiLevelType w:val="hybridMultilevel"/>
    <w:tmpl w:val="56767E86"/>
    <w:lvl w:ilvl="0" w:tplc="48090003">
      <w:start w:val="1"/>
      <w:numFmt w:val="bullet"/>
      <w:lvlText w:val="o"/>
      <w:lvlJc w:val="left"/>
      <w:pPr>
        <w:ind w:left="360" w:hanging="360"/>
      </w:pPr>
      <w:rPr>
        <w:rFonts w:ascii="Courier New" w:hAnsi="Courier New" w:cs="Courier New"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 w15:restartNumberingAfterBreak="0">
    <w:nsid w:val="041C5A17"/>
    <w:multiLevelType w:val="hybridMultilevel"/>
    <w:tmpl w:val="F49C9320"/>
    <w:lvl w:ilvl="0" w:tplc="48090003">
      <w:start w:val="1"/>
      <w:numFmt w:val="bullet"/>
      <w:lvlText w:val="o"/>
      <w:lvlJc w:val="left"/>
      <w:pPr>
        <w:ind w:left="360" w:hanging="360"/>
      </w:pPr>
      <w:rPr>
        <w:rFonts w:ascii="Courier New" w:hAnsi="Courier New" w:cs="Courier New"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 w15:restartNumberingAfterBreak="0">
    <w:nsid w:val="05A40FDB"/>
    <w:multiLevelType w:val="hybridMultilevel"/>
    <w:tmpl w:val="BDB0B88E"/>
    <w:lvl w:ilvl="0" w:tplc="48090001">
      <w:start w:val="1"/>
      <w:numFmt w:val="bullet"/>
      <w:lvlText w:val=""/>
      <w:lvlJc w:val="left"/>
      <w:pPr>
        <w:ind w:left="360" w:hanging="360"/>
      </w:pPr>
      <w:rPr>
        <w:rFonts w:ascii="Symbol" w:hAnsi="Symbol" w:hint="default"/>
      </w:rPr>
    </w:lvl>
    <w:lvl w:ilvl="1" w:tplc="48090003">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4" w15:restartNumberingAfterBreak="0">
    <w:nsid w:val="07A878E6"/>
    <w:multiLevelType w:val="hybridMultilevel"/>
    <w:tmpl w:val="164E1BC6"/>
    <w:lvl w:ilvl="0" w:tplc="08090001">
      <w:start w:val="1"/>
      <w:numFmt w:val="bullet"/>
      <w:lvlText w:val=""/>
      <w:lvlJc w:val="left"/>
      <w:pPr>
        <w:ind w:left="360" w:hanging="360"/>
      </w:pPr>
      <w:rPr>
        <w:rFonts w:ascii="Symbol" w:hAnsi="Symbol" w:hint="default"/>
      </w:rPr>
    </w:lvl>
    <w:lvl w:ilvl="1" w:tplc="C2EEAFBE">
      <w:start w:val="1"/>
      <w:numFmt w:val="bullet"/>
      <w:lvlText w:val=""/>
      <w:lvlJc w:val="left"/>
      <w:pPr>
        <w:ind w:left="891" w:hanging="360"/>
      </w:pPr>
      <w:rPr>
        <w:rFonts w:ascii="Symbol" w:hAnsi="Symbol" w:hint="default"/>
        <w:color w:val="auto"/>
      </w:rPr>
    </w:lvl>
    <w:lvl w:ilvl="2" w:tplc="4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F86CC8"/>
    <w:multiLevelType w:val="hybridMultilevel"/>
    <w:tmpl w:val="4DBEDCC0"/>
    <w:lvl w:ilvl="0" w:tplc="597C7448">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08C1061D"/>
    <w:multiLevelType w:val="hybridMultilevel"/>
    <w:tmpl w:val="A4BA1C46"/>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7" w15:restartNumberingAfterBreak="0">
    <w:nsid w:val="09DF6BB2"/>
    <w:multiLevelType w:val="hybridMultilevel"/>
    <w:tmpl w:val="CCB03AFE"/>
    <w:lvl w:ilvl="0" w:tplc="48090001">
      <w:start w:val="1"/>
      <w:numFmt w:val="bullet"/>
      <w:lvlText w:val=""/>
      <w:lvlJc w:val="left"/>
      <w:pPr>
        <w:ind w:left="891" w:hanging="360"/>
      </w:pPr>
      <w:rPr>
        <w:rFonts w:ascii="Symbol" w:hAnsi="Symbol" w:hint="default"/>
      </w:rPr>
    </w:lvl>
    <w:lvl w:ilvl="1" w:tplc="48090003" w:tentative="1">
      <w:start w:val="1"/>
      <w:numFmt w:val="bullet"/>
      <w:lvlText w:val="o"/>
      <w:lvlJc w:val="left"/>
      <w:pPr>
        <w:ind w:left="1611" w:hanging="360"/>
      </w:pPr>
      <w:rPr>
        <w:rFonts w:ascii="Courier New" w:hAnsi="Courier New" w:cs="Courier New" w:hint="default"/>
      </w:rPr>
    </w:lvl>
    <w:lvl w:ilvl="2" w:tplc="48090005" w:tentative="1">
      <w:start w:val="1"/>
      <w:numFmt w:val="bullet"/>
      <w:lvlText w:val=""/>
      <w:lvlJc w:val="left"/>
      <w:pPr>
        <w:ind w:left="2331" w:hanging="360"/>
      </w:pPr>
      <w:rPr>
        <w:rFonts w:ascii="Wingdings" w:hAnsi="Wingdings" w:hint="default"/>
      </w:rPr>
    </w:lvl>
    <w:lvl w:ilvl="3" w:tplc="48090001" w:tentative="1">
      <w:start w:val="1"/>
      <w:numFmt w:val="bullet"/>
      <w:lvlText w:val=""/>
      <w:lvlJc w:val="left"/>
      <w:pPr>
        <w:ind w:left="3051" w:hanging="360"/>
      </w:pPr>
      <w:rPr>
        <w:rFonts w:ascii="Symbol" w:hAnsi="Symbol" w:hint="default"/>
      </w:rPr>
    </w:lvl>
    <w:lvl w:ilvl="4" w:tplc="48090003" w:tentative="1">
      <w:start w:val="1"/>
      <w:numFmt w:val="bullet"/>
      <w:lvlText w:val="o"/>
      <w:lvlJc w:val="left"/>
      <w:pPr>
        <w:ind w:left="3771" w:hanging="360"/>
      </w:pPr>
      <w:rPr>
        <w:rFonts w:ascii="Courier New" w:hAnsi="Courier New" w:cs="Courier New" w:hint="default"/>
      </w:rPr>
    </w:lvl>
    <w:lvl w:ilvl="5" w:tplc="48090005" w:tentative="1">
      <w:start w:val="1"/>
      <w:numFmt w:val="bullet"/>
      <w:lvlText w:val=""/>
      <w:lvlJc w:val="left"/>
      <w:pPr>
        <w:ind w:left="4491" w:hanging="360"/>
      </w:pPr>
      <w:rPr>
        <w:rFonts w:ascii="Wingdings" w:hAnsi="Wingdings" w:hint="default"/>
      </w:rPr>
    </w:lvl>
    <w:lvl w:ilvl="6" w:tplc="48090001" w:tentative="1">
      <w:start w:val="1"/>
      <w:numFmt w:val="bullet"/>
      <w:lvlText w:val=""/>
      <w:lvlJc w:val="left"/>
      <w:pPr>
        <w:ind w:left="5211" w:hanging="360"/>
      </w:pPr>
      <w:rPr>
        <w:rFonts w:ascii="Symbol" w:hAnsi="Symbol" w:hint="default"/>
      </w:rPr>
    </w:lvl>
    <w:lvl w:ilvl="7" w:tplc="48090003" w:tentative="1">
      <w:start w:val="1"/>
      <w:numFmt w:val="bullet"/>
      <w:lvlText w:val="o"/>
      <w:lvlJc w:val="left"/>
      <w:pPr>
        <w:ind w:left="5931" w:hanging="360"/>
      </w:pPr>
      <w:rPr>
        <w:rFonts w:ascii="Courier New" w:hAnsi="Courier New" w:cs="Courier New" w:hint="default"/>
      </w:rPr>
    </w:lvl>
    <w:lvl w:ilvl="8" w:tplc="48090005" w:tentative="1">
      <w:start w:val="1"/>
      <w:numFmt w:val="bullet"/>
      <w:lvlText w:val=""/>
      <w:lvlJc w:val="left"/>
      <w:pPr>
        <w:ind w:left="6651" w:hanging="360"/>
      </w:pPr>
      <w:rPr>
        <w:rFonts w:ascii="Wingdings" w:hAnsi="Wingdings" w:hint="default"/>
      </w:rPr>
    </w:lvl>
  </w:abstractNum>
  <w:abstractNum w:abstractNumId="8" w15:restartNumberingAfterBreak="0">
    <w:nsid w:val="0BBF4087"/>
    <w:multiLevelType w:val="hybridMultilevel"/>
    <w:tmpl w:val="26FAD12A"/>
    <w:lvl w:ilvl="0" w:tplc="4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10DB4A93"/>
    <w:multiLevelType w:val="hybridMultilevel"/>
    <w:tmpl w:val="56B60182"/>
    <w:lvl w:ilvl="0" w:tplc="48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13293377"/>
    <w:multiLevelType w:val="hybridMultilevel"/>
    <w:tmpl w:val="B098279A"/>
    <w:lvl w:ilvl="0" w:tplc="08090001">
      <w:start w:val="1"/>
      <w:numFmt w:val="bullet"/>
      <w:lvlText w:val=""/>
      <w:lvlJc w:val="left"/>
      <w:pPr>
        <w:tabs>
          <w:tab w:val="num" w:pos="780"/>
        </w:tabs>
        <w:ind w:left="780" w:hanging="360"/>
      </w:pPr>
      <w:rPr>
        <w:rFonts w:ascii="Symbol" w:hAnsi="Symbol" w:hint="default"/>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17600446"/>
    <w:multiLevelType w:val="hybridMultilevel"/>
    <w:tmpl w:val="60F869C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15:restartNumberingAfterBreak="0">
    <w:nsid w:val="191A407B"/>
    <w:multiLevelType w:val="multilevel"/>
    <w:tmpl w:val="D6A8A7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AC6607F"/>
    <w:multiLevelType w:val="hybridMultilevel"/>
    <w:tmpl w:val="7CBA65EC"/>
    <w:lvl w:ilvl="0" w:tplc="48090003">
      <w:start w:val="1"/>
      <w:numFmt w:val="bullet"/>
      <w:lvlText w:val="o"/>
      <w:lvlJc w:val="left"/>
      <w:pPr>
        <w:ind w:left="360" w:hanging="360"/>
      </w:pPr>
      <w:rPr>
        <w:rFonts w:ascii="Courier New" w:hAnsi="Courier New" w:cs="Courier New"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4" w15:restartNumberingAfterBreak="0">
    <w:nsid w:val="1C6C1E6F"/>
    <w:multiLevelType w:val="hybridMultilevel"/>
    <w:tmpl w:val="89FC10C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4741A1"/>
    <w:multiLevelType w:val="hybridMultilevel"/>
    <w:tmpl w:val="33AE02D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28120331"/>
    <w:multiLevelType w:val="hybridMultilevel"/>
    <w:tmpl w:val="8DAA2470"/>
    <w:lvl w:ilvl="0" w:tplc="FFFFFFFF">
      <w:start w:val="1"/>
      <w:numFmt w:val="bullet"/>
      <w:lvlText w:val=""/>
      <w:lvlJc w:val="left"/>
      <w:pPr>
        <w:ind w:left="360" w:hanging="360"/>
      </w:pPr>
      <w:rPr>
        <w:rFonts w:ascii="Symbol" w:hAnsi="Symbol" w:hint="default"/>
      </w:rPr>
    </w:lvl>
    <w:lvl w:ilvl="1" w:tplc="48090001">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28226134"/>
    <w:multiLevelType w:val="hybridMultilevel"/>
    <w:tmpl w:val="AE4635A2"/>
    <w:lvl w:ilvl="0" w:tplc="48090003">
      <w:start w:val="1"/>
      <w:numFmt w:val="bullet"/>
      <w:lvlText w:val="o"/>
      <w:lvlJc w:val="left"/>
      <w:pPr>
        <w:tabs>
          <w:tab w:val="num" w:pos="360"/>
        </w:tabs>
        <w:ind w:left="360" w:hanging="360"/>
      </w:pPr>
      <w:rPr>
        <w:rFonts w:ascii="Courier New" w:hAnsi="Courier New" w:cs="Courier New" w:hint="default"/>
      </w:rPr>
    </w:lvl>
    <w:lvl w:ilvl="1" w:tplc="FFFFFFFF">
      <w:start w:val="1"/>
      <w:numFmt w:val="bullet"/>
      <w:lvlText w:val=""/>
      <w:lvlJc w:val="left"/>
      <w:pPr>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8284E2B"/>
    <w:multiLevelType w:val="hybridMultilevel"/>
    <w:tmpl w:val="CB74A63C"/>
    <w:lvl w:ilvl="0" w:tplc="DF80D842">
      <w:start w:val="1"/>
      <w:numFmt w:val="bullet"/>
      <w:lvlText w:val=""/>
      <w:lvlJc w:val="left"/>
      <w:pPr>
        <w:ind w:left="720" w:hanging="360"/>
      </w:pPr>
      <w:rPr>
        <w:rFonts w:ascii="Symbol" w:hAnsi="Symbol" w:hint="default"/>
        <w:color w:val="auto"/>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9" w15:restartNumberingAfterBreak="0">
    <w:nsid w:val="2D887065"/>
    <w:multiLevelType w:val="hybridMultilevel"/>
    <w:tmpl w:val="20BE9AB2"/>
    <w:lvl w:ilvl="0" w:tplc="48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333C469C"/>
    <w:multiLevelType w:val="hybridMultilevel"/>
    <w:tmpl w:val="66B80F42"/>
    <w:lvl w:ilvl="0" w:tplc="48090003">
      <w:start w:val="1"/>
      <w:numFmt w:val="bullet"/>
      <w:lvlText w:val="o"/>
      <w:lvlJc w:val="left"/>
      <w:pPr>
        <w:tabs>
          <w:tab w:val="num" w:pos="720"/>
        </w:tabs>
        <w:ind w:left="720" w:hanging="360"/>
      </w:pPr>
      <w:rPr>
        <w:rFonts w:ascii="Courier New" w:hAnsi="Courier New" w:cs="Courier New"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320359"/>
    <w:multiLevelType w:val="hybridMultilevel"/>
    <w:tmpl w:val="58D8E3B0"/>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2" w15:restartNumberingAfterBreak="0">
    <w:nsid w:val="363B3A1F"/>
    <w:multiLevelType w:val="hybridMultilevel"/>
    <w:tmpl w:val="3BD83680"/>
    <w:lvl w:ilvl="0" w:tplc="AAB219E8">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3" w15:restartNumberingAfterBreak="0">
    <w:nsid w:val="3E0F78FA"/>
    <w:multiLevelType w:val="hybridMultilevel"/>
    <w:tmpl w:val="CA4446C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4" w15:restartNumberingAfterBreak="0">
    <w:nsid w:val="3ED07A7E"/>
    <w:multiLevelType w:val="hybridMultilevel"/>
    <w:tmpl w:val="1F1A728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5" w15:restartNumberingAfterBreak="0">
    <w:nsid w:val="436E156C"/>
    <w:multiLevelType w:val="hybridMultilevel"/>
    <w:tmpl w:val="AF667C5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6" w15:restartNumberingAfterBreak="0">
    <w:nsid w:val="445F3BD7"/>
    <w:multiLevelType w:val="hybridMultilevel"/>
    <w:tmpl w:val="0C28D692"/>
    <w:lvl w:ilvl="0" w:tplc="FFFFFFFF">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8CE551D"/>
    <w:multiLevelType w:val="hybridMultilevel"/>
    <w:tmpl w:val="15723748"/>
    <w:lvl w:ilvl="0" w:tplc="08090003">
      <w:start w:val="1"/>
      <w:numFmt w:val="bullet"/>
      <w:lvlText w:val="o"/>
      <w:lvlJc w:val="left"/>
      <w:pPr>
        <w:ind w:left="899" w:hanging="360"/>
      </w:pPr>
      <w:rPr>
        <w:rFonts w:ascii="Courier New" w:hAnsi="Courier New" w:cs="Courier New" w:hint="default"/>
      </w:rPr>
    </w:lvl>
    <w:lvl w:ilvl="1" w:tplc="08090003" w:tentative="1">
      <w:start w:val="1"/>
      <w:numFmt w:val="bullet"/>
      <w:lvlText w:val="o"/>
      <w:lvlJc w:val="left"/>
      <w:pPr>
        <w:ind w:left="1619" w:hanging="360"/>
      </w:pPr>
      <w:rPr>
        <w:rFonts w:ascii="Courier New" w:hAnsi="Courier New" w:cs="Courier New" w:hint="default"/>
      </w:rPr>
    </w:lvl>
    <w:lvl w:ilvl="2" w:tplc="08090005" w:tentative="1">
      <w:start w:val="1"/>
      <w:numFmt w:val="bullet"/>
      <w:lvlText w:val=""/>
      <w:lvlJc w:val="left"/>
      <w:pPr>
        <w:ind w:left="2339" w:hanging="360"/>
      </w:pPr>
      <w:rPr>
        <w:rFonts w:ascii="Wingdings" w:hAnsi="Wingdings" w:hint="default"/>
      </w:rPr>
    </w:lvl>
    <w:lvl w:ilvl="3" w:tplc="08090001" w:tentative="1">
      <w:start w:val="1"/>
      <w:numFmt w:val="bullet"/>
      <w:lvlText w:val=""/>
      <w:lvlJc w:val="left"/>
      <w:pPr>
        <w:ind w:left="3059" w:hanging="360"/>
      </w:pPr>
      <w:rPr>
        <w:rFonts w:ascii="Symbol" w:hAnsi="Symbol" w:hint="default"/>
      </w:rPr>
    </w:lvl>
    <w:lvl w:ilvl="4" w:tplc="08090003" w:tentative="1">
      <w:start w:val="1"/>
      <w:numFmt w:val="bullet"/>
      <w:lvlText w:val="o"/>
      <w:lvlJc w:val="left"/>
      <w:pPr>
        <w:ind w:left="3779" w:hanging="360"/>
      </w:pPr>
      <w:rPr>
        <w:rFonts w:ascii="Courier New" w:hAnsi="Courier New" w:cs="Courier New" w:hint="default"/>
      </w:rPr>
    </w:lvl>
    <w:lvl w:ilvl="5" w:tplc="08090005" w:tentative="1">
      <w:start w:val="1"/>
      <w:numFmt w:val="bullet"/>
      <w:lvlText w:val=""/>
      <w:lvlJc w:val="left"/>
      <w:pPr>
        <w:ind w:left="4499" w:hanging="360"/>
      </w:pPr>
      <w:rPr>
        <w:rFonts w:ascii="Wingdings" w:hAnsi="Wingdings" w:hint="default"/>
      </w:rPr>
    </w:lvl>
    <w:lvl w:ilvl="6" w:tplc="08090001" w:tentative="1">
      <w:start w:val="1"/>
      <w:numFmt w:val="bullet"/>
      <w:lvlText w:val=""/>
      <w:lvlJc w:val="left"/>
      <w:pPr>
        <w:ind w:left="5219" w:hanging="360"/>
      </w:pPr>
      <w:rPr>
        <w:rFonts w:ascii="Symbol" w:hAnsi="Symbol" w:hint="default"/>
      </w:rPr>
    </w:lvl>
    <w:lvl w:ilvl="7" w:tplc="08090003" w:tentative="1">
      <w:start w:val="1"/>
      <w:numFmt w:val="bullet"/>
      <w:lvlText w:val="o"/>
      <w:lvlJc w:val="left"/>
      <w:pPr>
        <w:ind w:left="5939" w:hanging="360"/>
      </w:pPr>
      <w:rPr>
        <w:rFonts w:ascii="Courier New" w:hAnsi="Courier New" w:cs="Courier New" w:hint="default"/>
      </w:rPr>
    </w:lvl>
    <w:lvl w:ilvl="8" w:tplc="08090005" w:tentative="1">
      <w:start w:val="1"/>
      <w:numFmt w:val="bullet"/>
      <w:lvlText w:val=""/>
      <w:lvlJc w:val="left"/>
      <w:pPr>
        <w:ind w:left="6659" w:hanging="360"/>
      </w:pPr>
      <w:rPr>
        <w:rFonts w:ascii="Wingdings" w:hAnsi="Wingdings" w:hint="default"/>
      </w:rPr>
    </w:lvl>
  </w:abstractNum>
  <w:abstractNum w:abstractNumId="28" w15:restartNumberingAfterBreak="0">
    <w:nsid w:val="4B3F6BA3"/>
    <w:multiLevelType w:val="hybridMultilevel"/>
    <w:tmpl w:val="52A4E6D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2AB3107"/>
    <w:multiLevelType w:val="hybridMultilevel"/>
    <w:tmpl w:val="3CFCE0C0"/>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0" w15:restartNumberingAfterBreak="0">
    <w:nsid w:val="52FA7C89"/>
    <w:multiLevelType w:val="hybridMultilevel"/>
    <w:tmpl w:val="45D4695C"/>
    <w:lvl w:ilvl="0" w:tplc="8B444AD0">
      <w:start w:val="9"/>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303163"/>
    <w:multiLevelType w:val="hybridMultilevel"/>
    <w:tmpl w:val="5B009A32"/>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2" w15:restartNumberingAfterBreak="0">
    <w:nsid w:val="5738433B"/>
    <w:multiLevelType w:val="hybridMultilevel"/>
    <w:tmpl w:val="287C67A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3" w15:restartNumberingAfterBreak="0">
    <w:nsid w:val="5CA025E4"/>
    <w:multiLevelType w:val="hybridMultilevel"/>
    <w:tmpl w:val="CEFC463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F03300"/>
    <w:multiLevelType w:val="hybridMultilevel"/>
    <w:tmpl w:val="181EAF38"/>
    <w:lvl w:ilvl="0" w:tplc="BD7012B6">
      <w:start w:val="4"/>
      <w:numFmt w:val="bullet"/>
      <w:lvlText w:val="-"/>
      <w:lvlJc w:val="left"/>
      <w:pPr>
        <w:ind w:left="720" w:hanging="360"/>
      </w:pPr>
      <w:rPr>
        <w:rFonts w:ascii="Calibri" w:eastAsia="Malgun Gothic"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5" w15:restartNumberingAfterBreak="0">
    <w:nsid w:val="64F67F5A"/>
    <w:multiLevelType w:val="hybridMultilevel"/>
    <w:tmpl w:val="89DAFD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B62C52"/>
    <w:multiLevelType w:val="hybridMultilevel"/>
    <w:tmpl w:val="BEE4B916"/>
    <w:lvl w:ilvl="0" w:tplc="48090003">
      <w:start w:val="1"/>
      <w:numFmt w:val="bullet"/>
      <w:lvlText w:val="o"/>
      <w:lvlJc w:val="left"/>
      <w:pPr>
        <w:tabs>
          <w:tab w:val="num" w:pos="360"/>
        </w:tabs>
        <w:ind w:left="360" w:hanging="360"/>
      </w:pPr>
      <w:rPr>
        <w:rFonts w:ascii="Courier New" w:hAnsi="Courier New" w:cs="Courier New" w:hint="default"/>
      </w:rPr>
    </w:lvl>
    <w:lvl w:ilvl="1" w:tplc="FFFFFFFF">
      <w:start w:val="1"/>
      <w:numFmt w:val="bullet"/>
      <w:lvlText w:val=""/>
      <w:lvlJc w:val="left"/>
      <w:pPr>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ACA0896"/>
    <w:multiLevelType w:val="hybridMultilevel"/>
    <w:tmpl w:val="13785B6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8" w15:restartNumberingAfterBreak="0">
    <w:nsid w:val="6D9C4E0F"/>
    <w:multiLevelType w:val="hybridMultilevel"/>
    <w:tmpl w:val="728E0BDE"/>
    <w:lvl w:ilvl="0" w:tplc="4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9" w15:restartNumberingAfterBreak="0">
    <w:nsid w:val="6EFB63D7"/>
    <w:multiLevelType w:val="hybridMultilevel"/>
    <w:tmpl w:val="143E1054"/>
    <w:lvl w:ilvl="0" w:tplc="A7F4EA2A">
      <w:start w:val="1"/>
      <w:numFmt w:val="lowerRoman"/>
      <w:lvlText w:val="(%1)"/>
      <w:lvlJc w:val="left"/>
      <w:pPr>
        <w:ind w:left="1080" w:hanging="720"/>
      </w:pPr>
      <w:rPr>
        <w:rFonts w:hint="default"/>
        <w:b w:val="0"/>
        <w:i/>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0" w15:restartNumberingAfterBreak="0">
    <w:nsid w:val="6F6A7CEA"/>
    <w:multiLevelType w:val="hybridMultilevel"/>
    <w:tmpl w:val="2D80DC9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1" w15:restartNumberingAfterBreak="0">
    <w:nsid w:val="713A1578"/>
    <w:multiLevelType w:val="hybridMultilevel"/>
    <w:tmpl w:val="F3187836"/>
    <w:lvl w:ilvl="0" w:tplc="48090001">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1B32FF8"/>
    <w:multiLevelType w:val="hybridMultilevel"/>
    <w:tmpl w:val="838CFB08"/>
    <w:lvl w:ilvl="0" w:tplc="4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3" w15:restartNumberingAfterBreak="0">
    <w:nsid w:val="74FB0797"/>
    <w:multiLevelType w:val="hybridMultilevel"/>
    <w:tmpl w:val="B238C562"/>
    <w:lvl w:ilvl="0" w:tplc="48090005">
      <w:start w:val="1"/>
      <w:numFmt w:val="bullet"/>
      <w:lvlText w:val=""/>
      <w:lvlJc w:val="left"/>
      <w:pPr>
        <w:ind w:left="720" w:hanging="360"/>
      </w:pPr>
      <w:rPr>
        <w:rFonts w:ascii="Wingdings" w:hAnsi="Wingdings"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4" w15:restartNumberingAfterBreak="0">
    <w:nsid w:val="775F5571"/>
    <w:multiLevelType w:val="hybridMultilevel"/>
    <w:tmpl w:val="0626577C"/>
    <w:lvl w:ilvl="0" w:tplc="B5B2155E">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5" w15:restartNumberingAfterBreak="0">
    <w:nsid w:val="786B01C6"/>
    <w:multiLevelType w:val="hybridMultilevel"/>
    <w:tmpl w:val="ABA0B332"/>
    <w:lvl w:ilvl="0" w:tplc="513E3446">
      <w:start w:val="1"/>
      <w:numFmt w:val="bullet"/>
      <w:lvlText w:val=""/>
      <w:lvlJc w:val="left"/>
      <w:pPr>
        <w:ind w:left="720" w:hanging="360"/>
      </w:pPr>
      <w:rPr>
        <w:rFonts w:ascii="Symbol" w:hAnsi="Symbol" w:hint="default"/>
      </w:rPr>
    </w:lvl>
    <w:lvl w:ilvl="1" w:tplc="08090019">
      <w:start w:val="1"/>
      <w:numFmt w:val="bullet"/>
      <w:lvlText w:val="o"/>
      <w:lvlJc w:val="left"/>
      <w:pPr>
        <w:ind w:left="1440" w:hanging="360"/>
      </w:pPr>
      <w:rPr>
        <w:rFonts w:ascii="Courier New" w:hAnsi="Courier New" w:cs="Courier New" w:hint="default"/>
      </w:rPr>
    </w:lvl>
    <w:lvl w:ilvl="2" w:tplc="0809001B">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46" w15:restartNumberingAfterBreak="0">
    <w:nsid w:val="787D1B79"/>
    <w:multiLevelType w:val="hybridMultilevel"/>
    <w:tmpl w:val="532401EE"/>
    <w:lvl w:ilvl="0" w:tplc="48090001">
      <w:start w:val="1"/>
      <w:numFmt w:val="bullet"/>
      <w:lvlText w:val=""/>
      <w:lvlJc w:val="left"/>
      <w:pPr>
        <w:ind w:left="1440" w:hanging="360"/>
      </w:pPr>
      <w:rPr>
        <w:rFonts w:ascii="Symbol" w:hAnsi="Symbol" w:hint="default"/>
      </w:rPr>
    </w:lvl>
    <w:lvl w:ilvl="1" w:tplc="48090003">
      <w:start w:val="1"/>
      <w:numFmt w:val="bullet"/>
      <w:lvlText w:val="o"/>
      <w:lvlJc w:val="left"/>
      <w:pPr>
        <w:ind w:left="2160" w:hanging="360"/>
      </w:pPr>
      <w:rPr>
        <w:rFonts w:ascii="Courier New" w:hAnsi="Courier New" w:cs="Courier New" w:hint="default"/>
      </w:rPr>
    </w:lvl>
    <w:lvl w:ilvl="2" w:tplc="48090005">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num w:numId="1" w16cid:durableId="2061590792">
    <w:abstractNumId w:val="32"/>
  </w:num>
  <w:num w:numId="2" w16cid:durableId="308023734">
    <w:abstractNumId w:val="46"/>
  </w:num>
  <w:num w:numId="3" w16cid:durableId="878396189">
    <w:abstractNumId w:val="11"/>
  </w:num>
  <w:num w:numId="4" w16cid:durableId="809635053">
    <w:abstractNumId w:val="5"/>
  </w:num>
  <w:num w:numId="5" w16cid:durableId="1794709961">
    <w:abstractNumId w:val="39"/>
  </w:num>
  <w:num w:numId="6" w16cid:durableId="513881561">
    <w:abstractNumId w:val="37"/>
  </w:num>
  <w:num w:numId="7" w16cid:durableId="557397430">
    <w:abstractNumId w:val="25"/>
  </w:num>
  <w:num w:numId="8" w16cid:durableId="2070766812">
    <w:abstractNumId w:val="15"/>
  </w:num>
  <w:num w:numId="9" w16cid:durableId="516387668">
    <w:abstractNumId w:val="31"/>
  </w:num>
  <w:num w:numId="10" w16cid:durableId="1719360072">
    <w:abstractNumId w:val="40"/>
  </w:num>
  <w:num w:numId="11" w16cid:durableId="127355393">
    <w:abstractNumId w:val="22"/>
  </w:num>
  <w:num w:numId="12" w16cid:durableId="1278756948">
    <w:abstractNumId w:val="43"/>
  </w:num>
  <w:num w:numId="13" w16cid:durableId="1235893315">
    <w:abstractNumId w:val="3"/>
  </w:num>
  <w:num w:numId="14" w16cid:durableId="560139543">
    <w:abstractNumId w:val="45"/>
  </w:num>
  <w:num w:numId="15" w16cid:durableId="182281604">
    <w:abstractNumId w:val="4"/>
  </w:num>
  <w:num w:numId="16" w16cid:durableId="1775855940">
    <w:abstractNumId w:val="27"/>
  </w:num>
  <w:num w:numId="17" w16cid:durableId="744693842">
    <w:abstractNumId w:val="35"/>
  </w:num>
  <w:num w:numId="18" w16cid:durableId="655493842">
    <w:abstractNumId w:val="10"/>
  </w:num>
  <w:num w:numId="19" w16cid:durableId="1310397933">
    <w:abstractNumId w:val="30"/>
  </w:num>
  <w:num w:numId="20" w16cid:durableId="1188712455">
    <w:abstractNumId w:val="14"/>
  </w:num>
  <w:num w:numId="21" w16cid:durableId="583958521">
    <w:abstractNumId w:val="33"/>
  </w:num>
  <w:num w:numId="22" w16cid:durableId="255870367">
    <w:abstractNumId w:val="18"/>
  </w:num>
  <w:num w:numId="23" w16cid:durableId="986517619">
    <w:abstractNumId w:val="24"/>
  </w:num>
  <w:num w:numId="24" w16cid:durableId="1643538795">
    <w:abstractNumId w:val="26"/>
  </w:num>
  <w:num w:numId="25" w16cid:durableId="1952127349">
    <w:abstractNumId w:val="34"/>
  </w:num>
  <w:num w:numId="26" w16cid:durableId="1055081486">
    <w:abstractNumId w:val="1"/>
  </w:num>
  <w:num w:numId="27" w16cid:durableId="1613703497">
    <w:abstractNumId w:val="13"/>
  </w:num>
  <w:num w:numId="28" w16cid:durableId="683365144">
    <w:abstractNumId w:val="2"/>
  </w:num>
  <w:num w:numId="29" w16cid:durableId="1629119619">
    <w:abstractNumId w:val="38"/>
  </w:num>
  <w:num w:numId="30" w16cid:durableId="474685536">
    <w:abstractNumId w:val="9"/>
  </w:num>
  <w:num w:numId="31" w16cid:durableId="872958527">
    <w:abstractNumId w:val="0"/>
  </w:num>
  <w:num w:numId="32" w16cid:durableId="36048640">
    <w:abstractNumId w:val="20"/>
  </w:num>
  <w:num w:numId="33" w16cid:durableId="1701971079">
    <w:abstractNumId w:val="17"/>
  </w:num>
  <w:num w:numId="34" w16cid:durableId="1405183400">
    <w:abstractNumId w:val="41"/>
  </w:num>
  <w:num w:numId="35" w16cid:durableId="397560196">
    <w:abstractNumId w:val="19"/>
  </w:num>
  <w:num w:numId="36" w16cid:durableId="193732949">
    <w:abstractNumId w:val="42"/>
  </w:num>
  <w:num w:numId="37" w16cid:durableId="1869559827">
    <w:abstractNumId w:val="36"/>
  </w:num>
  <w:num w:numId="38" w16cid:durableId="697511051">
    <w:abstractNumId w:val="6"/>
  </w:num>
  <w:num w:numId="39" w16cid:durableId="729309089">
    <w:abstractNumId w:val="8"/>
  </w:num>
  <w:num w:numId="40" w16cid:durableId="1939557912">
    <w:abstractNumId w:val="23"/>
  </w:num>
  <w:num w:numId="41" w16cid:durableId="798452854">
    <w:abstractNumId w:val="16"/>
  </w:num>
  <w:num w:numId="42" w16cid:durableId="1723019220">
    <w:abstractNumId w:val="7"/>
  </w:num>
  <w:num w:numId="43" w16cid:durableId="1075317809">
    <w:abstractNumId w:val="29"/>
  </w:num>
  <w:num w:numId="44" w16cid:durableId="775175890">
    <w:abstractNumId w:val="21"/>
  </w:num>
  <w:num w:numId="45" w16cid:durableId="1020620709">
    <w:abstractNumId w:val="44"/>
  </w:num>
  <w:num w:numId="46" w16cid:durableId="1594970719">
    <w:abstractNumId w:val="28"/>
  </w:num>
  <w:num w:numId="47" w16cid:durableId="4851264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D52"/>
    <w:rsid w:val="00003B71"/>
    <w:rsid w:val="000215F5"/>
    <w:rsid w:val="000457B8"/>
    <w:rsid w:val="00051081"/>
    <w:rsid w:val="00054560"/>
    <w:rsid w:val="00055AD7"/>
    <w:rsid w:val="00056177"/>
    <w:rsid w:val="00064E74"/>
    <w:rsid w:val="000666CF"/>
    <w:rsid w:val="000827FE"/>
    <w:rsid w:val="0008737C"/>
    <w:rsid w:val="00090026"/>
    <w:rsid w:val="00091970"/>
    <w:rsid w:val="00097C6B"/>
    <w:rsid w:val="000B3D6D"/>
    <w:rsid w:val="000B3D84"/>
    <w:rsid w:val="000B478D"/>
    <w:rsid w:val="000C40E7"/>
    <w:rsid w:val="000F08BA"/>
    <w:rsid w:val="000F604C"/>
    <w:rsid w:val="0011055F"/>
    <w:rsid w:val="00120AF1"/>
    <w:rsid w:val="001447F5"/>
    <w:rsid w:val="0015108A"/>
    <w:rsid w:val="00165951"/>
    <w:rsid w:val="00172718"/>
    <w:rsid w:val="001B32C4"/>
    <w:rsid w:val="001C0AD6"/>
    <w:rsid w:val="001C1BB6"/>
    <w:rsid w:val="001C44B5"/>
    <w:rsid w:val="001D2A26"/>
    <w:rsid w:val="001D73D8"/>
    <w:rsid w:val="001E0E61"/>
    <w:rsid w:val="001E1F35"/>
    <w:rsid w:val="001F6814"/>
    <w:rsid w:val="00203FC7"/>
    <w:rsid w:val="00216603"/>
    <w:rsid w:val="002257D6"/>
    <w:rsid w:val="002271AE"/>
    <w:rsid w:val="00235D4E"/>
    <w:rsid w:val="00240A44"/>
    <w:rsid w:val="00246068"/>
    <w:rsid w:val="00256516"/>
    <w:rsid w:val="002646DC"/>
    <w:rsid w:val="00266F64"/>
    <w:rsid w:val="00274D2C"/>
    <w:rsid w:val="002A525C"/>
    <w:rsid w:val="002A6D52"/>
    <w:rsid w:val="002B6FBE"/>
    <w:rsid w:val="002C5FB1"/>
    <w:rsid w:val="002D2CF1"/>
    <w:rsid w:val="002D7DDB"/>
    <w:rsid w:val="002E1C30"/>
    <w:rsid w:val="002F45BB"/>
    <w:rsid w:val="002F4AE2"/>
    <w:rsid w:val="00300ECF"/>
    <w:rsid w:val="0032356D"/>
    <w:rsid w:val="00325473"/>
    <w:rsid w:val="00333535"/>
    <w:rsid w:val="00334823"/>
    <w:rsid w:val="0035165C"/>
    <w:rsid w:val="00352718"/>
    <w:rsid w:val="00356BCF"/>
    <w:rsid w:val="00357ACD"/>
    <w:rsid w:val="00360C96"/>
    <w:rsid w:val="003909C5"/>
    <w:rsid w:val="00390E15"/>
    <w:rsid w:val="003A3903"/>
    <w:rsid w:val="003A50BD"/>
    <w:rsid w:val="003B2F98"/>
    <w:rsid w:val="003C1A1A"/>
    <w:rsid w:val="003F2AE5"/>
    <w:rsid w:val="00403761"/>
    <w:rsid w:val="00404312"/>
    <w:rsid w:val="0041201B"/>
    <w:rsid w:val="00422045"/>
    <w:rsid w:val="00426588"/>
    <w:rsid w:val="00432682"/>
    <w:rsid w:val="00433976"/>
    <w:rsid w:val="00463670"/>
    <w:rsid w:val="00463C2A"/>
    <w:rsid w:val="00474D66"/>
    <w:rsid w:val="004875E5"/>
    <w:rsid w:val="004B1B24"/>
    <w:rsid w:val="004B6423"/>
    <w:rsid w:val="004C3F36"/>
    <w:rsid w:val="004C4FDD"/>
    <w:rsid w:val="004C5405"/>
    <w:rsid w:val="004C6426"/>
    <w:rsid w:val="004D060F"/>
    <w:rsid w:val="004D7130"/>
    <w:rsid w:val="00505A90"/>
    <w:rsid w:val="0050652B"/>
    <w:rsid w:val="0051033F"/>
    <w:rsid w:val="0051446F"/>
    <w:rsid w:val="005218E8"/>
    <w:rsid w:val="0052412F"/>
    <w:rsid w:val="0056239F"/>
    <w:rsid w:val="00563B2F"/>
    <w:rsid w:val="00573A71"/>
    <w:rsid w:val="00576AEB"/>
    <w:rsid w:val="0057703C"/>
    <w:rsid w:val="0059090F"/>
    <w:rsid w:val="005B079D"/>
    <w:rsid w:val="005B3363"/>
    <w:rsid w:val="005C3F71"/>
    <w:rsid w:val="005E1F76"/>
    <w:rsid w:val="005F6947"/>
    <w:rsid w:val="00611A1B"/>
    <w:rsid w:val="00620484"/>
    <w:rsid w:val="00635DC2"/>
    <w:rsid w:val="00654C1A"/>
    <w:rsid w:val="00696EE4"/>
    <w:rsid w:val="006C4581"/>
    <w:rsid w:val="006C6AB7"/>
    <w:rsid w:val="006D1FBE"/>
    <w:rsid w:val="006E36AB"/>
    <w:rsid w:val="006E5B4F"/>
    <w:rsid w:val="00700088"/>
    <w:rsid w:val="00717C87"/>
    <w:rsid w:val="007211BD"/>
    <w:rsid w:val="00734DD9"/>
    <w:rsid w:val="00756E46"/>
    <w:rsid w:val="007778BC"/>
    <w:rsid w:val="00781DD6"/>
    <w:rsid w:val="00791FBA"/>
    <w:rsid w:val="0079325B"/>
    <w:rsid w:val="00796058"/>
    <w:rsid w:val="007A0478"/>
    <w:rsid w:val="007A4DB6"/>
    <w:rsid w:val="007A5C7F"/>
    <w:rsid w:val="007B052E"/>
    <w:rsid w:val="007B33A5"/>
    <w:rsid w:val="007B72D1"/>
    <w:rsid w:val="007C5D0F"/>
    <w:rsid w:val="007D087B"/>
    <w:rsid w:val="007D75F8"/>
    <w:rsid w:val="007F4F07"/>
    <w:rsid w:val="007F60FE"/>
    <w:rsid w:val="0080775E"/>
    <w:rsid w:val="00811456"/>
    <w:rsid w:val="00823E07"/>
    <w:rsid w:val="00847CAD"/>
    <w:rsid w:val="0085341A"/>
    <w:rsid w:val="008614E2"/>
    <w:rsid w:val="008628B0"/>
    <w:rsid w:val="00865940"/>
    <w:rsid w:val="00876F97"/>
    <w:rsid w:val="00884A64"/>
    <w:rsid w:val="008A48AB"/>
    <w:rsid w:val="008A6ECE"/>
    <w:rsid w:val="008C0EA5"/>
    <w:rsid w:val="008C6608"/>
    <w:rsid w:val="008D5211"/>
    <w:rsid w:val="008F480F"/>
    <w:rsid w:val="009175FF"/>
    <w:rsid w:val="00944A74"/>
    <w:rsid w:val="00950B97"/>
    <w:rsid w:val="0095632E"/>
    <w:rsid w:val="009701A2"/>
    <w:rsid w:val="0097465C"/>
    <w:rsid w:val="009A6EC6"/>
    <w:rsid w:val="009A79A3"/>
    <w:rsid w:val="009B1712"/>
    <w:rsid w:val="009D1CB6"/>
    <w:rsid w:val="009E272C"/>
    <w:rsid w:val="009F15ED"/>
    <w:rsid w:val="00A15057"/>
    <w:rsid w:val="00A33205"/>
    <w:rsid w:val="00A44AC0"/>
    <w:rsid w:val="00A5071F"/>
    <w:rsid w:val="00A514AF"/>
    <w:rsid w:val="00A52B4D"/>
    <w:rsid w:val="00A64109"/>
    <w:rsid w:val="00A6422C"/>
    <w:rsid w:val="00A744CB"/>
    <w:rsid w:val="00A74ED2"/>
    <w:rsid w:val="00A81C23"/>
    <w:rsid w:val="00A82482"/>
    <w:rsid w:val="00A840B7"/>
    <w:rsid w:val="00A848C5"/>
    <w:rsid w:val="00A87554"/>
    <w:rsid w:val="00A9748F"/>
    <w:rsid w:val="00AB64F5"/>
    <w:rsid w:val="00AD2D46"/>
    <w:rsid w:val="00AD5DCF"/>
    <w:rsid w:val="00AD66E6"/>
    <w:rsid w:val="00AE79A9"/>
    <w:rsid w:val="00AF2CF4"/>
    <w:rsid w:val="00AF5481"/>
    <w:rsid w:val="00B03769"/>
    <w:rsid w:val="00B06FB7"/>
    <w:rsid w:val="00B11647"/>
    <w:rsid w:val="00B26A4D"/>
    <w:rsid w:val="00B3239D"/>
    <w:rsid w:val="00B506FD"/>
    <w:rsid w:val="00B536B1"/>
    <w:rsid w:val="00B55840"/>
    <w:rsid w:val="00B55DBD"/>
    <w:rsid w:val="00B62E9A"/>
    <w:rsid w:val="00B63D28"/>
    <w:rsid w:val="00B67A54"/>
    <w:rsid w:val="00B81BFD"/>
    <w:rsid w:val="00BA3F5E"/>
    <w:rsid w:val="00BC43B0"/>
    <w:rsid w:val="00BC609C"/>
    <w:rsid w:val="00BF35B3"/>
    <w:rsid w:val="00BF4728"/>
    <w:rsid w:val="00BF74F1"/>
    <w:rsid w:val="00C0303C"/>
    <w:rsid w:val="00C20BDE"/>
    <w:rsid w:val="00C312FA"/>
    <w:rsid w:val="00C33EA7"/>
    <w:rsid w:val="00C3573D"/>
    <w:rsid w:val="00C36980"/>
    <w:rsid w:val="00C478F0"/>
    <w:rsid w:val="00C51096"/>
    <w:rsid w:val="00C52728"/>
    <w:rsid w:val="00C52A89"/>
    <w:rsid w:val="00C5765C"/>
    <w:rsid w:val="00C6537C"/>
    <w:rsid w:val="00C80863"/>
    <w:rsid w:val="00C85177"/>
    <w:rsid w:val="00CA0462"/>
    <w:rsid w:val="00CA721E"/>
    <w:rsid w:val="00CE3C99"/>
    <w:rsid w:val="00CE67D7"/>
    <w:rsid w:val="00D0533A"/>
    <w:rsid w:val="00D07063"/>
    <w:rsid w:val="00D07BEE"/>
    <w:rsid w:val="00D22BEB"/>
    <w:rsid w:val="00D36CD8"/>
    <w:rsid w:val="00D64D26"/>
    <w:rsid w:val="00D70653"/>
    <w:rsid w:val="00D77FE3"/>
    <w:rsid w:val="00DD2360"/>
    <w:rsid w:val="00DD30E1"/>
    <w:rsid w:val="00DE6E57"/>
    <w:rsid w:val="00DF0010"/>
    <w:rsid w:val="00E02CDB"/>
    <w:rsid w:val="00E03FB2"/>
    <w:rsid w:val="00E0441B"/>
    <w:rsid w:val="00E13C91"/>
    <w:rsid w:val="00E14D74"/>
    <w:rsid w:val="00E16502"/>
    <w:rsid w:val="00E17366"/>
    <w:rsid w:val="00E27395"/>
    <w:rsid w:val="00E30DFB"/>
    <w:rsid w:val="00E375C6"/>
    <w:rsid w:val="00E738AB"/>
    <w:rsid w:val="00E81EBC"/>
    <w:rsid w:val="00E834C9"/>
    <w:rsid w:val="00E84690"/>
    <w:rsid w:val="00E90496"/>
    <w:rsid w:val="00E92494"/>
    <w:rsid w:val="00E95FA7"/>
    <w:rsid w:val="00EB09B8"/>
    <w:rsid w:val="00EB4996"/>
    <w:rsid w:val="00EB63BC"/>
    <w:rsid w:val="00EC7354"/>
    <w:rsid w:val="00EC7B7C"/>
    <w:rsid w:val="00EE0802"/>
    <w:rsid w:val="00EE091B"/>
    <w:rsid w:val="00EE16D9"/>
    <w:rsid w:val="00EE43DC"/>
    <w:rsid w:val="00EF5AE4"/>
    <w:rsid w:val="00F01112"/>
    <w:rsid w:val="00F3566E"/>
    <w:rsid w:val="00F53648"/>
    <w:rsid w:val="00F545A0"/>
    <w:rsid w:val="00F637D6"/>
    <w:rsid w:val="00F71331"/>
    <w:rsid w:val="00F77C2F"/>
    <w:rsid w:val="00FA0A12"/>
    <w:rsid w:val="00FB2C7E"/>
    <w:rsid w:val="00FB31E9"/>
    <w:rsid w:val="00FD2AA5"/>
    <w:rsid w:val="00FD6792"/>
    <w:rsid w:val="00FE1509"/>
    <w:rsid w:val="00FE2F54"/>
    <w:rsid w:val="00FE3424"/>
    <w:rsid w:val="00FE3940"/>
  </w:rsids>
  <m:mathPr>
    <m:mathFont m:val="Cambria Math"/>
    <m:brkBin m:val="before"/>
    <m:brkBinSub m:val="--"/>
    <m:smallFrac m:val="0"/>
    <m:dispDef/>
    <m:lMargin m:val="0"/>
    <m:rMargin m:val="0"/>
    <m:defJc m:val="centerGroup"/>
    <m:wrapIndent m:val="1440"/>
    <m:intLim m:val="subSup"/>
    <m:naryLim m:val="undOvr"/>
  </m:mathPr>
  <w:themeFontLang w:val="en-SG"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7F3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A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6D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6D52"/>
    <w:pPr>
      <w:ind w:left="720"/>
      <w:contextualSpacing/>
    </w:pPr>
  </w:style>
  <w:style w:type="character" w:styleId="CommentReference">
    <w:name w:val="annotation reference"/>
    <w:basedOn w:val="DefaultParagraphFont"/>
    <w:uiPriority w:val="99"/>
    <w:semiHidden/>
    <w:unhideWhenUsed/>
    <w:rsid w:val="002A6D52"/>
    <w:rPr>
      <w:sz w:val="16"/>
      <w:szCs w:val="16"/>
    </w:rPr>
  </w:style>
  <w:style w:type="paragraph" w:styleId="CommentText">
    <w:name w:val="annotation text"/>
    <w:basedOn w:val="Normal"/>
    <w:link w:val="CommentTextChar"/>
    <w:uiPriority w:val="99"/>
    <w:unhideWhenUsed/>
    <w:rsid w:val="00A52B4D"/>
    <w:pPr>
      <w:spacing w:line="240" w:lineRule="auto"/>
    </w:pPr>
    <w:rPr>
      <w:sz w:val="20"/>
      <w:szCs w:val="20"/>
    </w:rPr>
  </w:style>
  <w:style w:type="character" w:customStyle="1" w:styleId="CommentTextChar">
    <w:name w:val="Comment Text Char"/>
    <w:basedOn w:val="DefaultParagraphFont"/>
    <w:link w:val="CommentText"/>
    <w:uiPriority w:val="99"/>
    <w:rsid w:val="002A6D52"/>
    <w:rPr>
      <w:sz w:val="20"/>
      <w:szCs w:val="20"/>
    </w:rPr>
  </w:style>
  <w:style w:type="paragraph" w:styleId="CommentSubject">
    <w:name w:val="annotation subject"/>
    <w:basedOn w:val="CommentText"/>
    <w:next w:val="CommentText"/>
    <w:link w:val="CommentSubjectChar"/>
    <w:uiPriority w:val="99"/>
    <w:semiHidden/>
    <w:unhideWhenUsed/>
    <w:rsid w:val="002A6D52"/>
    <w:rPr>
      <w:b/>
      <w:bCs/>
    </w:rPr>
  </w:style>
  <w:style w:type="character" w:customStyle="1" w:styleId="CommentSubjectChar">
    <w:name w:val="Comment Subject Char"/>
    <w:basedOn w:val="CommentTextChar"/>
    <w:link w:val="CommentSubject"/>
    <w:uiPriority w:val="99"/>
    <w:semiHidden/>
    <w:rsid w:val="002A6D52"/>
    <w:rPr>
      <w:b/>
      <w:bCs/>
      <w:sz w:val="20"/>
      <w:szCs w:val="20"/>
    </w:rPr>
  </w:style>
  <w:style w:type="paragraph" w:styleId="BalloonText">
    <w:name w:val="Balloon Text"/>
    <w:basedOn w:val="Normal"/>
    <w:link w:val="BalloonTextChar"/>
    <w:uiPriority w:val="99"/>
    <w:semiHidden/>
    <w:unhideWhenUsed/>
    <w:rsid w:val="002A6D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6D52"/>
    <w:rPr>
      <w:rFonts w:ascii="Segoe UI" w:hAnsi="Segoe UI" w:cs="Segoe UI"/>
      <w:sz w:val="18"/>
      <w:szCs w:val="18"/>
    </w:rPr>
  </w:style>
  <w:style w:type="paragraph" w:styleId="Header">
    <w:name w:val="header"/>
    <w:basedOn w:val="Normal"/>
    <w:link w:val="HeaderChar"/>
    <w:uiPriority w:val="99"/>
    <w:unhideWhenUsed/>
    <w:rsid w:val="007F60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60FE"/>
  </w:style>
  <w:style w:type="paragraph" w:styleId="Footer">
    <w:name w:val="footer"/>
    <w:basedOn w:val="Normal"/>
    <w:link w:val="FooterChar"/>
    <w:uiPriority w:val="99"/>
    <w:unhideWhenUsed/>
    <w:rsid w:val="007F60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60FE"/>
  </w:style>
  <w:style w:type="paragraph" w:styleId="Revision">
    <w:name w:val="Revision"/>
    <w:hidden/>
    <w:uiPriority w:val="99"/>
    <w:semiHidden/>
    <w:rsid w:val="00C6537C"/>
    <w:pPr>
      <w:spacing w:after="0" w:line="240" w:lineRule="auto"/>
    </w:pPr>
  </w:style>
  <w:style w:type="character" w:styleId="Hyperlink">
    <w:name w:val="Hyperlink"/>
    <w:basedOn w:val="DefaultParagraphFont"/>
    <w:uiPriority w:val="99"/>
    <w:unhideWhenUsed/>
    <w:rsid w:val="0041201B"/>
    <w:rPr>
      <w:color w:val="0563C1" w:themeColor="hyperlink"/>
      <w:u w:val="single"/>
    </w:rPr>
  </w:style>
  <w:style w:type="character" w:styleId="UnresolvedMention">
    <w:name w:val="Unresolved Mention"/>
    <w:basedOn w:val="DefaultParagraphFont"/>
    <w:uiPriority w:val="99"/>
    <w:semiHidden/>
    <w:unhideWhenUsed/>
    <w:rsid w:val="004120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1406</Words>
  <Characters>8019</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2024-04-24T11:46:00Z</dcterms:created>
  <dcterms:modified xsi:type="dcterms:W3CDTF">2024-04-24T11:46:00Z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f9331f7-95a2-472a-92bc-d73219eb516b_Enabled">
    <vt:lpwstr>True</vt:lpwstr>
  </property>
  <property fmtid="{D5CDD505-2E9C-101B-9397-08002B2CF9AE}" pid="3" name="MSIP_Label_3f9331f7-95a2-472a-92bc-d73219eb516b_SiteId">
    <vt:lpwstr>0b11c524-9a1c-4e1b-84cb-6336aefc2243</vt:lpwstr>
  </property>
  <property fmtid="{D5CDD505-2E9C-101B-9397-08002B2CF9AE}" pid="4" name="MSIP_Label_3f9331f7-95a2-472a-92bc-d73219eb516b_Owner">
    <vt:lpwstr>MARY_Elizabeth_CHELLIAH@mti.gov.sg</vt:lpwstr>
  </property>
  <property fmtid="{D5CDD505-2E9C-101B-9397-08002B2CF9AE}" pid="5" name="MSIP_Label_3f9331f7-95a2-472a-92bc-d73219eb516b_SetDate">
    <vt:lpwstr>2020-03-23T08:27:59.6559350Z</vt:lpwstr>
  </property>
  <property fmtid="{D5CDD505-2E9C-101B-9397-08002B2CF9AE}" pid="6" name="MSIP_Label_3f9331f7-95a2-472a-92bc-d73219eb516b_Name">
    <vt:lpwstr>CONFIDENTIAL</vt:lpwstr>
  </property>
  <property fmtid="{D5CDD505-2E9C-101B-9397-08002B2CF9AE}" pid="7" name="MSIP_Label_3f9331f7-95a2-472a-92bc-d73219eb516b_Application">
    <vt:lpwstr>Microsoft Azure Information Protection</vt:lpwstr>
  </property>
  <property fmtid="{D5CDD505-2E9C-101B-9397-08002B2CF9AE}" pid="8" name="MSIP_Label_3f9331f7-95a2-472a-92bc-d73219eb516b_ActionId">
    <vt:lpwstr>2fedf387-6965-47a7-ae87-83e527b12ee1</vt:lpwstr>
  </property>
  <property fmtid="{D5CDD505-2E9C-101B-9397-08002B2CF9AE}" pid="9" name="MSIP_Label_3f9331f7-95a2-472a-92bc-d73219eb516b_Extended_MSFT_Method">
    <vt:lpwstr>Automatic</vt:lpwstr>
  </property>
  <property fmtid="{D5CDD505-2E9C-101B-9397-08002B2CF9AE}" pid="10" name="MSIP_Label_4f288355-fb4c-44cd-b9ca-40cfc2aee5f8_Enabled">
    <vt:lpwstr>True</vt:lpwstr>
  </property>
  <property fmtid="{D5CDD505-2E9C-101B-9397-08002B2CF9AE}" pid="11" name="MSIP_Label_4f288355-fb4c-44cd-b9ca-40cfc2aee5f8_SiteId">
    <vt:lpwstr>0b11c524-9a1c-4e1b-84cb-6336aefc2243</vt:lpwstr>
  </property>
  <property fmtid="{D5CDD505-2E9C-101B-9397-08002B2CF9AE}" pid="12" name="MSIP_Label_4f288355-fb4c-44cd-b9ca-40cfc2aee5f8_Owner">
    <vt:lpwstr>MARY_Elizabeth_CHELLIAH@mti.gov.sg</vt:lpwstr>
  </property>
  <property fmtid="{D5CDD505-2E9C-101B-9397-08002B2CF9AE}" pid="13" name="MSIP_Label_4f288355-fb4c-44cd-b9ca-40cfc2aee5f8_SetDate">
    <vt:lpwstr>2020-03-23T08:27:59.6559350Z</vt:lpwstr>
  </property>
  <property fmtid="{D5CDD505-2E9C-101B-9397-08002B2CF9AE}" pid="14" name="MSIP_Label_4f288355-fb4c-44cd-b9ca-40cfc2aee5f8_Name">
    <vt:lpwstr>NON-SENSITIVE</vt:lpwstr>
  </property>
  <property fmtid="{D5CDD505-2E9C-101B-9397-08002B2CF9AE}" pid="15" name="MSIP_Label_4f288355-fb4c-44cd-b9ca-40cfc2aee5f8_Application">
    <vt:lpwstr>Microsoft Azure Information Protection</vt:lpwstr>
  </property>
  <property fmtid="{D5CDD505-2E9C-101B-9397-08002B2CF9AE}" pid="16" name="MSIP_Label_4f288355-fb4c-44cd-b9ca-40cfc2aee5f8_ActionId">
    <vt:lpwstr>2fedf387-6965-47a7-ae87-83e527b12ee1</vt:lpwstr>
  </property>
  <property fmtid="{D5CDD505-2E9C-101B-9397-08002B2CF9AE}" pid="17" name="MSIP_Label_4f288355-fb4c-44cd-b9ca-40cfc2aee5f8_Parent">
    <vt:lpwstr>3f9331f7-95a2-472a-92bc-d73219eb516b</vt:lpwstr>
  </property>
  <property fmtid="{D5CDD505-2E9C-101B-9397-08002B2CF9AE}" pid="18" name="MSIP_Label_4f288355-fb4c-44cd-b9ca-40cfc2aee5f8_Extended_MSFT_Method">
    <vt:lpwstr>Automatic</vt:lpwstr>
  </property>
  <property fmtid="{D5CDD505-2E9C-101B-9397-08002B2CF9AE}" pid="19" name="Sensitivity">
    <vt:lpwstr>CONFIDENTIAL NON-SENSITIVE</vt:lpwstr>
  </property>
</Properties>
</file>