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04" w:rsidRPr="009274B6" w:rsidRDefault="00722604" w:rsidP="0072260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22604" w:rsidRPr="009274B6" w:rsidRDefault="00722604" w:rsidP="00722604">
      <w:pPr>
        <w:jc w:val="center"/>
        <w:rPr>
          <w:b/>
          <w:sz w:val="24"/>
          <w:szCs w:val="24"/>
        </w:rPr>
      </w:pPr>
      <w:r w:rsidRPr="009274B6">
        <w:rPr>
          <w:b/>
          <w:sz w:val="24"/>
          <w:szCs w:val="24"/>
        </w:rPr>
        <w:t>Regional Workshop on Trade and Environment for</w:t>
      </w:r>
    </w:p>
    <w:p w:rsidR="00722604" w:rsidRPr="009274B6" w:rsidRDefault="00544F19" w:rsidP="007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Caribbean Countries</w:t>
      </w:r>
    </w:p>
    <w:p w:rsidR="00D41D4A" w:rsidRPr="00D41D4A" w:rsidRDefault="00D41D4A" w:rsidP="00D41D4A">
      <w:pPr>
        <w:jc w:val="center"/>
        <w:rPr>
          <w:b/>
          <w:i/>
          <w:sz w:val="24"/>
          <w:szCs w:val="24"/>
        </w:rPr>
      </w:pPr>
      <w:r w:rsidRPr="00D41D4A">
        <w:rPr>
          <w:b/>
          <w:i/>
          <w:sz w:val="24"/>
          <w:szCs w:val="24"/>
        </w:rPr>
        <w:t xml:space="preserve">14-16 January 2019 </w:t>
      </w:r>
    </w:p>
    <w:p w:rsidR="00722604" w:rsidRPr="009274B6" w:rsidRDefault="00722604" w:rsidP="00722604">
      <w:pPr>
        <w:jc w:val="center"/>
        <w:rPr>
          <w:b/>
          <w:sz w:val="24"/>
          <w:szCs w:val="24"/>
        </w:rPr>
      </w:pPr>
    </w:p>
    <w:p w:rsidR="00577A31" w:rsidRDefault="006A2162" w:rsidP="00722604">
      <w:pPr>
        <w:jc w:val="center"/>
        <w:rPr>
          <w:b/>
          <w:sz w:val="24"/>
          <w:szCs w:val="24"/>
        </w:rPr>
      </w:pPr>
      <w:r w:rsidRPr="009274B6">
        <w:rPr>
          <w:b/>
          <w:sz w:val="24"/>
          <w:szCs w:val="24"/>
        </w:rPr>
        <w:t>Tentative</w:t>
      </w:r>
      <w:r w:rsidR="00577A31" w:rsidRPr="009274B6">
        <w:rPr>
          <w:b/>
          <w:sz w:val="24"/>
          <w:szCs w:val="24"/>
        </w:rPr>
        <w:t xml:space="preserve"> Programme </w:t>
      </w:r>
    </w:p>
    <w:p w:rsidR="00154405" w:rsidRDefault="00154405" w:rsidP="007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544F19">
        <w:rPr>
          <w:b/>
          <w:sz w:val="24"/>
          <w:szCs w:val="24"/>
        </w:rPr>
        <w:t>TBD</w:t>
      </w:r>
      <w:r>
        <w:rPr>
          <w:b/>
          <w:sz w:val="24"/>
          <w:szCs w:val="24"/>
        </w:rPr>
        <w:t xml:space="preserve">, </w:t>
      </w:r>
      <w:r w:rsidR="00544F19">
        <w:rPr>
          <w:b/>
          <w:sz w:val="24"/>
          <w:szCs w:val="24"/>
        </w:rPr>
        <w:t>Basseterre</w:t>
      </w:r>
      <w:r w:rsidRPr="00154405">
        <w:rPr>
          <w:b/>
          <w:sz w:val="24"/>
          <w:szCs w:val="24"/>
        </w:rPr>
        <w:t xml:space="preserve">, </w:t>
      </w:r>
      <w:r w:rsidR="00544F19" w:rsidRPr="00544F19">
        <w:rPr>
          <w:b/>
          <w:sz w:val="24"/>
          <w:szCs w:val="24"/>
        </w:rPr>
        <w:t>St. Kitts and Nevis</w:t>
      </w:r>
    </w:p>
    <w:p w:rsidR="00D41D4A" w:rsidRPr="009274B6" w:rsidRDefault="00D41D4A" w:rsidP="00722604">
      <w:pPr>
        <w:jc w:val="center"/>
        <w:rPr>
          <w:b/>
          <w:sz w:val="24"/>
          <w:szCs w:val="24"/>
        </w:rPr>
      </w:pPr>
    </w:p>
    <w:p w:rsidR="00E8629A" w:rsidRDefault="00644F62" w:rsidP="00644F62">
      <w:pPr>
        <w:tabs>
          <w:tab w:val="clear" w:pos="720"/>
        </w:tabs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93327B" w:rsidRPr="00D41D4A">
        <w:rPr>
          <w:b/>
          <w:i/>
          <w:sz w:val="24"/>
          <w:szCs w:val="24"/>
          <w:u w:val="single"/>
        </w:rPr>
        <w:t xml:space="preserve">17 January 2019 </w:t>
      </w:r>
      <w:r w:rsidRPr="00D41D4A">
        <w:rPr>
          <w:b/>
          <w:i/>
          <w:sz w:val="24"/>
          <w:szCs w:val="24"/>
          <w:u w:val="single"/>
        </w:rPr>
        <w:t>dedicated to a session with St. Kitts and Nevis stakeholders</w:t>
      </w:r>
      <w:r w:rsidR="0093327B" w:rsidRPr="00644F62">
        <w:rPr>
          <w:b/>
          <w:i/>
          <w:sz w:val="24"/>
          <w:szCs w:val="24"/>
        </w:rPr>
        <w:tab/>
      </w:r>
      <w:r w:rsidR="0093327B">
        <w:rPr>
          <w:b/>
          <w:sz w:val="24"/>
          <w:szCs w:val="24"/>
        </w:rPr>
        <w:tab/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49"/>
      </w:tblGrid>
      <w:tr w:rsidR="00E8629A" w:rsidRPr="009274B6" w:rsidTr="00D46402">
        <w:tc>
          <w:tcPr>
            <w:tcW w:w="9649" w:type="dxa"/>
            <w:shd w:val="clear" w:color="auto" w:fill="A6A6A6" w:themeFill="background1" w:themeFillShade="A6"/>
          </w:tcPr>
          <w:p w:rsidR="00E8629A" w:rsidRPr="009274B6" w:rsidRDefault="00E8629A" w:rsidP="00544F19">
            <w:pPr>
              <w:jc w:val="center"/>
              <w:rPr>
                <w:b/>
                <w:sz w:val="24"/>
                <w:szCs w:val="24"/>
              </w:rPr>
            </w:pPr>
            <w:r w:rsidRPr="009274B6">
              <w:rPr>
                <w:b/>
                <w:sz w:val="24"/>
                <w:szCs w:val="24"/>
              </w:rPr>
              <w:t>Monday</w:t>
            </w:r>
            <w:r w:rsidR="00544F19">
              <w:rPr>
                <w:b/>
                <w:sz w:val="24"/>
                <w:szCs w:val="24"/>
              </w:rPr>
              <w:t>,</w:t>
            </w:r>
            <w:r w:rsidRPr="009274B6">
              <w:rPr>
                <w:b/>
                <w:sz w:val="24"/>
                <w:szCs w:val="24"/>
              </w:rPr>
              <w:t xml:space="preserve"> 1</w:t>
            </w:r>
            <w:r w:rsidR="00544F19">
              <w:rPr>
                <w:b/>
                <w:sz w:val="24"/>
                <w:szCs w:val="24"/>
              </w:rPr>
              <w:t>4 January</w:t>
            </w:r>
          </w:p>
        </w:tc>
      </w:tr>
      <w:tr w:rsidR="001C6F03" w:rsidRPr="009274B6" w:rsidTr="00EC0AA9">
        <w:trPr>
          <w:trHeight w:val="490"/>
        </w:trPr>
        <w:tc>
          <w:tcPr>
            <w:tcW w:w="9649" w:type="dxa"/>
            <w:shd w:val="clear" w:color="auto" w:fill="FDE9D9" w:themeFill="accent6" w:themeFillTint="33"/>
          </w:tcPr>
          <w:p w:rsidR="001172A0" w:rsidRDefault="001172A0" w:rsidP="001172A0">
            <w:pPr>
              <w:tabs>
                <w:tab w:val="clear" w:pos="720"/>
              </w:tabs>
              <w:spacing w:after="120"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AM</w:t>
            </w:r>
          </w:p>
          <w:p w:rsidR="001C6F03" w:rsidRPr="00A74441" w:rsidRDefault="001C6F03" w:rsidP="001172A0">
            <w:pPr>
              <w:tabs>
                <w:tab w:val="clear" w:pos="720"/>
              </w:tabs>
              <w:spacing w:after="120"/>
              <w:rPr>
                <w:b/>
                <w:smallCaps/>
                <w:sz w:val="24"/>
                <w:szCs w:val="24"/>
              </w:rPr>
            </w:pPr>
            <w:r w:rsidRPr="009274B6">
              <w:rPr>
                <w:b/>
                <w:smallCaps/>
                <w:sz w:val="24"/>
                <w:szCs w:val="24"/>
                <w:u w:val="single"/>
              </w:rPr>
              <w:t>Module 1</w:t>
            </w:r>
            <w:r w:rsidRPr="009274B6">
              <w:rPr>
                <w:b/>
                <w:smallCaps/>
                <w:sz w:val="24"/>
                <w:szCs w:val="24"/>
              </w:rPr>
              <w:t>:</w:t>
            </w:r>
            <w:r w:rsidR="00AD61F7">
              <w:rPr>
                <w:b/>
                <w:smallCaps/>
                <w:sz w:val="24"/>
                <w:szCs w:val="24"/>
              </w:rPr>
              <w:t xml:space="preserve"> </w:t>
            </w:r>
            <w:r w:rsidR="006C02ED">
              <w:rPr>
                <w:b/>
                <w:smallCaps/>
                <w:sz w:val="24"/>
                <w:szCs w:val="24"/>
              </w:rPr>
              <w:t>Demystifying</w:t>
            </w:r>
            <w:r w:rsidRPr="009274B6">
              <w:rPr>
                <w:b/>
                <w:smallCaps/>
                <w:sz w:val="24"/>
                <w:szCs w:val="24"/>
              </w:rPr>
              <w:t xml:space="preserve"> the relationship between trade and the environment</w:t>
            </w:r>
          </w:p>
        </w:tc>
      </w:tr>
      <w:tr w:rsidR="00FB514F" w:rsidRPr="009274B6" w:rsidTr="00EC0AA9">
        <w:tc>
          <w:tcPr>
            <w:tcW w:w="9649" w:type="dxa"/>
            <w:shd w:val="clear" w:color="auto" w:fill="FDE9D9" w:themeFill="accent6" w:themeFillTint="33"/>
          </w:tcPr>
          <w:p w:rsidR="001172A0" w:rsidRDefault="001172A0" w:rsidP="001172A0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PM</w:t>
            </w:r>
          </w:p>
          <w:p w:rsidR="00FB514F" w:rsidRPr="00FB514F" w:rsidRDefault="00FB514F" w:rsidP="006C02ED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</w:rPr>
            </w:pPr>
            <w:r w:rsidRPr="009274B6">
              <w:rPr>
                <w:b/>
                <w:smallCaps/>
                <w:sz w:val="24"/>
                <w:szCs w:val="24"/>
                <w:u w:val="single"/>
              </w:rPr>
              <w:t>Module 2</w:t>
            </w:r>
            <w:r w:rsidRPr="009274B6">
              <w:rPr>
                <w:b/>
                <w:smallCaps/>
                <w:sz w:val="24"/>
                <w:szCs w:val="24"/>
              </w:rPr>
              <w:t xml:space="preserve">: Trade as a tool to support </w:t>
            </w:r>
            <w:r w:rsidR="006C02ED">
              <w:rPr>
                <w:b/>
                <w:smallCaps/>
                <w:sz w:val="24"/>
                <w:szCs w:val="24"/>
              </w:rPr>
              <w:t xml:space="preserve">Environmental Policies:  the case of </w:t>
            </w:r>
            <w:r w:rsidRPr="009274B6">
              <w:rPr>
                <w:b/>
                <w:smallCaps/>
                <w:sz w:val="24"/>
                <w:szCs w:val="24"/>
              </w:rPr>
              <w:t xml:space="preserve">climate change action </w:t>
            </w:r>
          </w:p>
        </w:tc>
      </w:tr>
      <w:tr w:rsidR="006C02ED" w:rsidRPr="009274B6" w:rsidTr="006C02ED">
        <w:tc>
          <w:tcPr>
            <w:tcW w:w="9649" w:type="dxa"/>
            <w:tcBorders>
              <w:left w:val="nil"/>
              <w:right w:val="nil"/>
            </w:tcBorders>
            <w:shd w:val="clear" w:color="auto" w:fill="auto"/>
          </w:tcPr>
          <w:p w:rsidR="006C02ED" w:rsidRPr="00A74441" w:rsidRDefault="006C02ED" w:rsidP="00544F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F03" w:rsidRPr="009274B6" w:rsidTr="001C6F03">
        <w:tc>
          <w:tcPr>
            <w:tcW w:w="9649" w:type="dxa"/>
            <w:shd w:val="clear" w:color="auto" w:fill="A6A6A6" w:themeFill="background1" w:themeFillShade="A6"/>
          </w:tcPr>
          <w:p w:rsidR="001C6F03" w:rsidRPr="00A74441" w:rsidRDefault="001C6F03" w:rsidP="00544F19">
            <w:pPr>
              <w:jc w:val="center"/>
              <w:rPr>
                <w:b/>
                <w:sz w:val="24"/>
                <w:szCs w:val="24"/>
              </w:rPr>
            </w:pPr>
            <w:r w:rsidRPr="00A74441">
              <w:rPr>
                <w:b/>
                <w:sz w:val="24"/>
                <w:szCs w:val="24"/>
              </w:rPr>
              <w:t>Tuesday</w:t>
            </w:r>
            <w:r w:rsidR="00544F19">
              <w:rPr>
                <w:b/>
                <w:sz w:val="24"/>
                <w:szCs w:val="24"/>
              </w:rPr>
              <w:t>,</w:t>
            </w:r>
            <w:r w:rsidRPr="00A74441">
              <w:rPr>
                <w:b/>
                <w:sz w:val="24"/>
                <w:szCs w:val="24"/>
              </w:rPr>
              <w:t xml:space="preserve"> 1</w:t>
            </w:r>
            <w:r w:rsidR="00544F19">
              <w:rPr>
                <w:b/>
                <w:sz w:val="24"/>
                <w:szCs w:val="24"/>
              </w:rPr>
              <w:t>5</w:t>
            </w:r>
            <w:r w:rsidRPr="00A74441">
              <w:rPr>
                <w:b/>
                <w:sz w:val="24"/>
                <w:szCs w:val="24"/>
              </w:rPr>
              <w:t xml:space="preserve"> </w:t>
            </w:r>
            <w:r w:rsidR="00544F19">
              <w:rPr>
                <w:b/>
                <w:sz w:val="24"/>
                <w:szCs w:val="24"/>
              </w:rPr>
              <w:t>January</w:t>
            </w:r>
          </w:p>
        </w:tc>
      </w:tr>
      <w:tr w:rsidR="009274B6" w:rsidRPr="009274B6" w:rsidTr="00EC0AA9">
        <w:trPr>
          <w:trHeight w:val="490"/>
        </w:trPr>
        <w:tc>
          <w:tcPr>
            <w:tcW w:w="9649" w:type="dxa"/>
            <w:shd w:val="clear" w:color="auto" w:fill="FDE9D9" w:themeFill="accent6" w:themeFillTint="33"/>
          </w:tcPr>
          <w:p w:rsidR="001172A0" w:rsidRDefault="001172A0" w:rsidP="001172A0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AM</w:t>
            </w:r>
          </w:p>
          <w:p w:rsidR="009274B6" w:rsidRPr="009274B6" w:rsidRDefault="009274B6" w:rsidP="001172A0">
            <w:pPr>
              <w:tabs>
                <w:tab w:val="clear" w:pos="720"/>
              </w:tabs>
              <w:spacing w:after="60"/>
              <w:rPr>
                <w:b/>
                <w:i/>
                <w:sz w:val="24"/>
                <w:szCs w:val="24"/>
                <w:u w:val="single"/>
              </w:rPr>
            </w:pPr>
            <w:r w:rsidRPr="009274B6">
              <w:rPr>
                <w:b/>
                <w:smallCaps/>
                <w:sz w:val="24"/>
                <w:szCs w:val="24"/>
                <w:u w:val="single"/>
              </w:rPr>
              <w:t>Module 3</w:t>
            </w:r>
            <w:r w:rsidRPr="009274B6">
              <w:rPr>
                <w:b/>
                <w:smallCaps/>
                <w:sz w:val="24"/>
                <w:szCs w:val="24"/>
              </w:rPr>
              <w:t xml:space="preserve">: </w:t>
            </w:r>
            <w:r w:rsidR="00A74441">
              <w:rPr>
                <w:b/>
                <w:smallCaps/>
                <w:sz w:val="24"/>
                <w:szCs w:val="24"/>
              </w:rPr>
              <w:t>Liberalizing trade in environmental goods and services</w:t>
            </w:r>
          </w:p>
        </w:tc>
      </w:tr>
      <w:tr w:rsidR="009274B6" w:rsidRPr="009274B6" w:rsidTr="00EC0AA9">
        <w:trPr>
          <w:trHeight w:val="490"/>
        </w:trPr>
        <w:tc>
          <w:tcPr>
            <w:tcW w:w="9649" w:type="dxa"/>
            <w:shd w:val="clear" w:color="auto" w:fill="FDE9D9" w:themeFill="accent6" w:themeFillTint="33"/>
          </w:tcPr>
          <w:p w:rsidR="001172A0" w:rsidRDefault="001172A0" w:rsidP="006C02ED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PM</w:t>
            </w:r>
          </w:p>
          <w:p w:rsidR="009274B6" w:rsidRPr="008022BA" w:rsidRDefault="009274B6" w:rsidP="006C02ED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</w:rPr>
            </w:pPr>
            <w:r w:rsidRPr="009274B6">
              <w:rPr>
                <w:b/>
                <w:smallCaps/>
                <w:sz w:val="24"/>
                <w:szCs w:val="24"/>
                <w:u w:val="single"/>
              </w:rPr>
              <w:t>Module 4</w:t>
            </w:r>
            <w:r w:rsidRPr="009274B6">
              <w:rPr>
                <w:b/>
                <w:smallCaps/>
                <w:sz w:val="24"/>
                <w:szCs w:val="24"/>
              </w:rPr>
              <w:t xml:space="preserve">: </w:t>
            </w:r>
            <w:r w:rsidR="006C02ED">
              <w:rPr>
                <w:b/>
                <w:smallCaps/>
                <w:sz w:val="24"/>
                <w:szCs w:val="24"/>
              </w:rPr>
              <w:t xml:space="preserve">Rights and obligations under the WTO: Avoiding Green Protectionism, ensuring coherence and effectiveness  </w:t>
            </w:r>
          </w:p>
        </w:tc>
      </w:tr>
    </w:tbl>
    <w:p w:rsidR="00E8629A" w:rsidRDefault="00E8629A" w:rsidP="00AE20ED">
      <w:pPr>
        <w:rPr>
          <w:sz w:val="24"/>
          <w:szCs w:val="24"/>
        </w:rPr>
      </w:pPr>
    </w:p>
    <w:p w:rsidR="00544F19" w:rsidRDefault="00544F19" w:rsidP="00AE20ED">
      <w:pPr>
        <w:rPr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49"/>
      </w:tblGrid>
      <w:tr w:rsidR="00544F19" w:rsidRPr="00A74441" w:rsidTr="000E0179">
        <w:tc>
          <w:tcPr>
            <w:tcW w:w="9649" w:type="dxa"/>
            <w:shd w:val="clear" w:color="auto" w:fill="A6A6A6" w:themeFill="background1" w:themeFillShade="A6"/>
          </w:tcPr>
          <w:p w:rsidR="00544F19" w:rsidRPr="00A74441" w:rsidRDefault="00544F19" w:rsidP="00544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Pr="00A74441">
              <w:rPr>
                <w:b/>
                <w:sz w:val="24"/>
                <w:szCs w:val="24"/>
              </w:rPr>
              <w:t>day</w:t>
            </w:r>
            <w:r>
              <w:rPr>
                <w:b/>
                <w:sz w:val="24"/>
                <w:szCs w:val="24"/>
              </w:rPr>
              <w:t>,</w:t>
            </w:r>
            <w:r w:rsidRPr="00A74441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6</w:t>
            </w:r>
            <w:r w:rsidRPr="00A744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January</w:t>
            </w:r>
          </w:p>
        </w:tc>
      </w:tr>
      <w:tr w:rsidR="00544F19" w:rsidRPr="009274B6" w:rsidTr="000E0179">
        <w:trPr>
          <w:trHeight w:val="490"/>
        </w:trPr>
        <w:tc>
          <w:tcPr>
            <w:tcW w:w="9649" w:type="dxa"/>
            <w:shd w:val="clear" w:color="auto" w:fill="FDE9D9" w:themeFill="accent6" w:themeFillTint="33"/>
          </w:tcPr>
          <w:p w:rsidR="001172A0" w:rsidRDefault="001172A0" w:rsidP="001172A0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AM</w:t>
            </w:r>
          </w:p>
          <w:p w:rsidR="00544F19" w:rsidRPr="009274B6" w:rsidRDefault="001172A0" w:rsidP="001172A0">
            <w:pPr>
              <w:tabs>
                <w:tab w:val="clear" w:pos="720"/>
              </w:tabs>
              <w:spacing w:after="6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M</w:t>
            </w:r>
            <w:r w:rsidR="00544F19" w:rsidRPr="009274B6">
              <w:rPr>
                <w:b/>
                <w:smallCaps/>
                <w:sz w:val="24"/>
                <w:szCs w:val="24"/>
                <w:u w:val="single"/>
              </w:rPr>
              <w:t xml:space="preserve">odule </w:t>
            </w:r>
            <w:r w:rsidR="006C02ED">
              <w:rPr>
                <w:b/>
                <w:smallCaps/>
                <w:sz w:val="24"/>
                <w:szCs w:val="24"/>
                <w:u w:val="single"/>
              </w:rPr>
              <w:t>5</w:t>
            </w:r>
            <w:r w:rsidR="00544F19" w:rsidRPr="009274B6">
              <w:rPr>
                <w:b/>
                <w:smallCaps/>
                <w:sz w:val="24"/>
                <w:szCs w:val="24"/>
              </w:rPr>
              <w:t xml:space="preserve">: </w:t>
            </w:r>
            <w:r w:rsidR="006C02ED">
              <w:rPr>
                <w:b/>
                <w:smallCaps/>
                <w:sz w:val="24"/>
                <w:szCs w:val="24"/>
              </w:rPr>
              <w:t>The relationship between the multilateral trading system and Multilateral Environmental Agreements (MEAs)</w:t>
            </w:r>
          </w:p>
        </w:tc>
      </w:tr>
      <w:tr w:rsidR="00544F19" w:rsidRPr="008022BA" w:rsidTr="000E0179">
        <w:trPr>
          <w:trHeight w:val="490"/>
        </w:trPr>
        <w:tc>
          <w:tcPr>
            <w:tcW w:w="9649" w:type="dxa"/>
            <w:shd w:val="clear" w:color="auto" w:fill="FDE9D9" w:themeFill="accent6" w:themeFillTint="33"/>
          </w:tcPr>
          <w:p w:rsidR="001172A0" w:rsidRDefault="001172A0" w:rsidP="006C02ED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PM</w:t>
            </w:r>
          </w:p>
          <w:p w:rsidR="00544F19" w:rsidRPr="008022BA" w:rsidRDefault="00544F19" w:rsidP="006C02ED">
            <w:pPr>
              <w:tabs>
                <w:tab w:val="clear" w:pos="720"/>
              </w:tabs>
              <w:spacing w:after="60"/>
              <w:jc w:val="center"/>
              <w:rPr>
                <w:b/>
                <w:smallCaps/>
                <w:sz w:val="24"/>
                <w:szCs w:val="24"/>
              </w:rPr>
            </w:pPr>
            <w:r w:rsidRPr="009274B6">
              <w:rPr>
                <w:b/>
                <w:smallCaps/>
                <w:sz w:val="24"/>
                <w:szCs w:val="24"/>
                <w:u w:val="single"/>
              </w:rPr>
              <w:t xml:space="preserve">Module </w:t>
            </w:r>
            <w:r w:rsidR="006C02ED">
              <w:rPr>
                <w:b/>
                <w:smallCaps/>
                <w:sz w:val="24"/>
                <w:szCs w:val="24"/>
                <w:u w:val="single"/>
              </w:rPr>
              <w:t>6</w:t>
            </w:r>
            <w:r w:rsidRPr="009274B6">
              <w:rPr>
                <w:b/>
                <w:smallCaps/>
                <w:sz w:val="24"/>
                <w:szCs w:val="24"/>
              </w:rPr>
              <w:t xml:space="preserve">: </w:t>
            </w:r>
            <w:r w:rsidR="006C02ED">
              <w:rPr>
                <w:b/>
                <w:smallCaps/>
                <w:sz w:val="24"/>
                <w:szCs w:val="24"/>
              </w:rPr>
              <w:t>Regional trade coordination in the Caribbean on environmental issues</w:t>
            </w:r>
          </w:p>
        </w:tc>
      </w:tr>
    </w:tbl>
    <w:p w:rsidR="00544F19" w:rsidRPr="009274B6" w:rsidRDefault="00544F19" w:rsidP="00AE20ED">
      <w:pPr>
        <w:rPr>
          <w:sz w:val="24"/>
          <w:szCs w:val="24"/>
        </w:rPr>
      </w:pPr>
    </w:p>
    <w:sectPr w:rsidR="00544F19" w:rsidRPr="009274B6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EB" w:rsidRDefault="00F719EB" w:rsidP="00ED54E0">
      <w:r>
        <w:separator/>
      </w:r>
    </w:p>
  </w:endnote>
  <w:endnote w:type="continuationSeparator" w:id="0">
    <w:p w:rsidR="00F719EB" w:rsidRDefault="00F719E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1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490" w:rsidRDefault="00416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490" w:rsidRDefault="0041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EB" w:rsidRDefault="00F719EB" w:rsidP="00ED54E0">
      <w:r>
        <w:separator/>
      </w:r>
    </w:p>
  </w:footnote>
  <w:footnote w:type="continuationSeparator" w:id="0">
    <w:p w:rsidR="00F719EB" w:rsidRDefault="00F719E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04" w:rsidRDefault="00722604" w:rsidP="0072260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32736" wp14:editId="15542A9F">
          <wp:simplePos x="0" y="0"/>
          <wp:positionH relativeFrom="column">
            <wp:posOffset>-194310</wp:posOffset>
          </wp:positionH>
          <wp:positionV relativeFrom="paragraph">
            <wp:posOffset>-93345</wp:posOffset>
          </wp:positionV>
          <wp:extent cx="2857500" cy="571500"/>
          <wp:effectExtent l="0" t="0" r="0" b="0"/>
          <wp:wrapNone/>
          <wp:docPr id="1" name="Picture 1" descr="Logo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A72"/>
    <w:multiLevelType w:val="hybridMultilevel"/>
    <w:tmpl w:val="CA9C5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62F6"/>
    <w:multiLevelType w:val="hybridMultilevel"/>
    <w:tmpl w:val="78663B84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0C486478"/>
    <w:multiLevelType w:val="hybridMultilevel"/>
    <w:tmpl w:val="DA8E0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D120F"/>
    <w:multiLevelType w:val="hybridMultilevel"/>
    <w:tmpl w:val="E8C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147FA"/>
    <w:multiLevelType w:val="hybridMultilevel"/>
    <w:tmpl w:val="269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F357C"/>
    <w:multiLevelType w:val="hybridMultilevel"/>
    <w:tmpl w:val="2050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C1F63"/>
    <w:multiLevelType w:val="hybridMultilevel"/>
    <w:tmpl w:val="1C1A7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C66B4"/>
    <w:multiLevelType w:val="hybridMultilevel"/>
    <w:tmpl w:val="139A7C62"/>
    <w:lvl w:ilvl="0" w:tplc="64AA3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02480"/>
    <w:multiLevelType w:val="hybridMultilevel"/>
    <w:tmpl w:val="4ED6F48E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02F"/>
    <w:multiLevelType w:val="hybridMultilevel"/>
    <w:tmpl w:val="79C86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7454AB1"/>
    <w:multiLevelType w:val="multilevel"/>
    <w:tmpl w:val="075A666C"/>
    <w:numStyleLink w:val="LegalHeadings"/>
  </w:abstractNum>
  <w:abstractNum w:abstractNumId="2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2660F"/>
    <w:multiLevelType w:val="hybridMultilevel"/>
    <w:tmpl w:val="28F8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21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16"/>
  </w:num>
  <w:num w:numId="19">
    <w:abstractNumId w:val="24"/>
  </w:num>
  <w:num w:numId="20">
    <w:abstractNumId w:val="15"/>
  </w:num>
  <w:num w:numId="21">
    <w:abstractNumId w:val="10"/>
  </w:num>
  <w:num w:numId="22">
    <w:abstractNumId w:val="17"/>
  </w:num>
  <w:num w:numId="23">
    <w:abstractNumId w:val="11"/>
  </w:num>
  <w:num w:numId="24">
    <w:abstractNumId w:val="13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9A"/>
    <w:rsid w:val="000272F6"/>
    <w:rsid w:val="00030824"/>
    <w:rsid w:val="00037AC4"/>
    <w:rsid w:val="000423BF"/>
    <w:rsid w:val="000A4945"/>
    <w:rsid w:val="000B31E1"/>
    <w:rsid w:val="000C363B"/>
    <w:rsid w:val="0011356B"/>
    <w:rsid w:val="001172A0"/>
    <w:rsid w:val="001264D0"/>
    <w:rsid w:val="0013337F"/>
    <w:rsid w:val="00141D5D"/>
    <w:rsid w:val="001449A6"/>
    <w:rsid w:val="00154405"/>
    <w:rsid w:val="00182B84"/>
    <w:rsid w:val="00193250"/>
    <w:rsid w:val="001946F2"/>
    <w:rsid w:val="001C6F03"/>
    <w:rsid w:val="001D0F5C"/>
    <w:rsid w:val="001E291F"/>
    <w:rsid w:val="00233408"/>
    <w:rsid w:val="00264C6F"/>
    <w:rsid w:val="0027067B"/>
    <w:rsid w:val="002A15FB"/>
    <w:rsid w:val="002A4F3D"/>
    <w:rsid w:val="002C105D"/>
    <w:rsid w:val="00304385"/>
    <w:rsid w:val="003572B4"/>
    <w:rsid w:val="00362BFC"/>
    <w:rsid w:val="00383F10"/>
    <w:rsid w:val="003B5275"/>
    <w:rsid w:val="00416490"/>
    <w:rsid w:val="00445CC6"/>
    <w:rsid w:val="004551EC"/>
    <w:rsid w:val="00467032"/>
    <w:rsid w:val="0046754A"/>
    <w:rsid w:val="00472FA2"/>
    <w:rsid w:val="004A31FF"/>
    <w:rsid w:val="004F203A"/>
    <w:rsid w:val="00512FF5"/>
    <w:rsid w:val="005336B8"/>
    <w:rsid w:val="00544F19"/>
    <w:rsid w:val="005776AC"/>
    <w:rsid w:val="00577A31"/>
    <w:rsid w:val="005835E1"/>
    <w:rsid w:val="0059291E"/>
    <w:rsid w:val="005B04B9"/>
    <w:rsid w:val="005B68C7"/>
    <w:rsid w:val="005B7054"/>
    <w:rsid w:val="005D5981"/>
    <w:rsid w:val="005F30CB"/>
    <w:rsid w:val="00612644"/>
    <w:rsid w:val="00623859"/>
    <w:rsid w:val="0062498C"/>
    <w:rsid w:val="0063199A"/>
    <w:rsid w:val="00633996"/>
    <w:rsid w:val="00641E2E"/>
    <w:rsid w:val="00644F62"/>
    <w:rsid w:val="00654D1F"/>
    <w:rsid w:val="00674CCD"/>
    <w:rsid w:val="006A2162"/>
    <w:rsid w:val="006B2264"/>
    <w:rsid w:val="006C02ED"/>
    <w:rsid w:val="006D342A"/>
    <w:rsid w:val="006E3654"/>
    <w:rsid w:val="006F5826"/>
    <w:rsid w:val="00700181"/>
    <w:rsid w:val="00710168"/>
    <w:rsid w:val="007141CF"/>
    <w:rsid w:val="00722604"/>
    <w:rsid w:val="00745146"/>
    <w:rsid w:val="007577E3"/>
    <w:rsid w:val="00760DB3"/>
    <w:rsid w:val="00767204"/>
    <w:rsid w:val="00771E52"/>
    <w:rsid w:val="007C79F0"/>
    <w:rsid w:val="007D5058"/>
    <w:rsid w:val="007E6507"/>
    <w:rsid w:val="007F2B8E"/>
    <w:rsid w:val="008022BA"/>
    <w:rsid w:val="00807247"/>
    <w:rsid w:val="0081623B"/>
    <w:rsid w:val="00840C2B"/>
    <w:rsid w:val="00856BD2"/>
    <w:rsid w:val="008739FD"/>
    <w:rsid w:val="008A09C5"/>
    <w:rsid w:val="008E372C"/>
    <w:rsid w:val="00906330"/>
    <w:rsid w:val="009274B6"/>
    <w:rsid w:val="0093327B"/>
    <w:rsid w:val="0094448A"/>
    <w:rsid w:val="009A6F54"/>
    <w:rsid w:val="009A7E67"/>
    <w:rsid w:val="009C14E7"/>
    <w:rsid w:val="00A0189A"/>
    <w:rsid w:val="00A53DCE"/>
    <w:rsid w:val="00A6057A"/>
    <w:rsid w:val="00A74017"/>
    <w:rsid w:val="00A74441"/>
    <w:rsid w:val="00A97A1E"/>
    <w:rsid w:val="00AA332C"/>
    <w:rsid w:val="00AA6168"/>
    <w:rsid w:val="00AB3ED5"/>
    <w:rsid w:val="00AC27F8"/>
    <w:rsid w:val="00AC5766"/>
    <w:rsid w:val="00AD4C72"/>
    <w:rsid w:val="00AD61F7"/>
    <w:rsid w:val="00AE20ED"/>
    <w:rsid w:val="00AE2AEE"/>
    <w:rsid w:val="00B230EC"/>
    <w:rsid w:val="00B56C00"/>
    <w:rsid w:val="00B56EDC"/>
    <w:rsid w:val="00BB1F84"/>
    <w:rsid w:val="00BC0EFA"/>
    <w:rsid w:val="00BD3BB2"/>
    <w:rsid w:val="00BE5468"/>
    <w:rsid w:val="00C06EE9"/>
    <w:rsid w:val="00C11EAC"/>
    <w:rsid w:val="00C305D7"/>
    <w:rsid w:val="00C30F2A"/>
    <w:rsid w:val="00C43456"/>
    <w:rsid w:val="00C65C0C"/>
    <w:rsid w:val="00C67627"/>
    <w:rsid w:val="00C808FC"/>
    <w:rsid w:val="00CA35C4"/>
    <w:rsid w:val="00CC5DCA"/>
    <w:rsid w:val="00CC7ECB"/>
    <w:rsid w:val="00CD7D97"/>
    <w:rsid w:val="00CE3EE6"/>
    <w:rsid w:val="00CE4BA1"/>
    <w:rsid w:val="00D000C7"/>
    <w:rsid w:val="00D0311E"/>
    <w:rsid w:val="00D30890"/>
    <w:rsid w:val="00D41D4A"/>
    <w:rsid w:val="00D44E1B"/>
    <w:rsid w:val="00D46402"/>
    <w:rsid w:val="00D52A9D"/>
    <w:rsid w:val="00D55AAD"/>
    <w:rsid w:val="00D747AE"/>
    <w:rsid w:val="00D9226C"/>
    <w:rsid w:val="00DA20BD"/>
    <w:rsid w:val="00DE50DB"/>
    <w:rsid w:val="00DF6AE1"/>
    <w:rsid w:val="00E43D96"/>
    <w:rsid w:val="00E46FD5"/>
    <w:rsid w:val="00E544BB"/>
    <w:rsid w:val="00E56545"/>
    <w:rsid w:val="00E76FA7"/>
    <w:rsid w:val="00E85004"/>
    <w:rsid w:val="00E8629A"/>
    <w:rsid w:val="00EA5D4F"/>
    <w:rsid w:val="00EB6C56"/>
    <w:rsid w:val="00EC0AA9"/>
    <w:rsid w:val="00ED54E0"/>
    <w:rsid w:val="00F32397"/>
    <w:rsid w:val="00F40595"/>
    <w:rsid w:val="00F719EB"/>
    <w:rsid w:val="00FA0A7F"/>
    <w:rsid w:val="00FA5EBC"/>
    <w:rsid w:val="00FB514F"/>
    <w:rsid w:val="00FD224A"/>
    <w:rsid w:val="00FD6832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12D6732-6128-41BA-BB5C-08714F7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29A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b/>
      <w:bCs/>
      <w:color w:val="006283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right" w:leader="dot" w:pos="9027"/>
      </w:tabs>
      <w:ind w:right="720"/>
    </w:pPr>
    <w:rPr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Steinfatt, Karsten</dc:creator>
  <cp:lastModifiedBy>Vucinic, Karine</cp:lastModifiedBy>
  <cp:revision>2</cp:revision>
  <cp:lastPrinted>2017-09-07T10:01:00Z</cp:lastPrinted>
  <dcterms:created xsi:type="dcterms:W3CDTF">2019-03-04T15:37:00Z</dcterms:created>
  <dcterms:modified xsi:type="dcterms:W3CDTF">2019-03-04T15:37:00Z</dcterms:modified>
</cp:coreProperties>
</file>