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717E" w14:textId="77777777" w:rsidR="00E67725" w:rsidRDefault="00E67725"/>
    <w:p w14:paraId="6E0FEA8A" w14:textId="77777777" w:rsidR="00B014A0" w:rsidRDefault="00B014A0"/>
    <w:p w14:paraId="09906C44" w14:textId="0A862D6C" w:rsidR="00395BD8" w:rsidRPr="00395BD8" w:rsidRDefault="00395BD8" w:rsidP="00FD2394">
      <w:pPr>
        <w:jc w:val="center"/>
        <w:rPr>
          <w:b/>
          <w:bCs/>
        </w:rPr>
      </w:pPr>
      <w:r>
        <w:rPr>
          <w:b/>
          <w:bCs/>
        </w:rPr>
        <w:t>TALLER NACIONAL SOBRE EL ACUERDO DE OBSTÁCULOS TÉCNICOS AL COMERCIO DE LA OMC</w:t>
      </w:r>
    </w:p>
    <w:p w14:paraId="4A891FA9" w14:textId="58894633" w:rsidR="00395BD8" w:rsidRPr="00395BD8" w:rsidRDefault="00395BD8" w:rsidP="00FD2394">
      <w:pPr>
        <w:jc w:val="center"/>
        <w:rPr>
          <w:b/>
          <w:bCs/>
        </w:rPr>
      </w:pPr>
      <w:r>
        <w:rPr>
          <w:b/>
          <w:bCs/>
        </w:rPr>
        <w:t>Transparencia y Evaluación de la Conformidad</w:t>
      </w:r>
    </w:p>
    <w:p w14:paraId="13F5B578" w14:textId="76ADE9E1" w:rsidR="00395BD8" w:rsidRPr="00395BD8" w:rsidRDefault="00395BD8" w:rsidP="00FD2394">
      <w:pPr>
        <w:jc w:val="center"/>
        <w:rPr>
          <w:b/>
          <w:bCs/>
        </w:rPr>
      </w:pPr>
      <w:r>
        <w:rPr>
          <w:b/>
          <w:bCs/>
        </w:rPr>
        <w:t>Lunes a miércoles, 19–21 de octubre de 2026</w:t>
      </w:r>
    </w:p>
    <w:p w14:paraId="0B0608F6" w14:textId="77777777" w:rsidR="00B014A0" w:rsidRDefault="00B014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B014A0" w14:paraId="7774CCBC" w14:textId="77777777" w:rsidTr="00B64C3A">
        <w:tc>
          <w:tcPr>
            <w:tcW w:w="8828" w:type="dxa"/>
            <w:gridSpan w:val="2"/>
          </w:tcPr>
          <w:p w14:paraId="7A3D5272" w14:textId="08F24D96" w:rsidR="00B014A0" w:rsidRDefault="00B014A0">
            <w:r>
              <w:t>LUNES 19 DE OCTUBRE — Fundamentos aplicados del Acuerdo OTC y clasificación de medidas</w:t>
            </w:r>
          </w:p>
          <w:p w14:paraId="566EE5DA" w14:textId="40933271" w:rsidR="00B014A0" w:rsidRDefault="00B014A0">
            <w:r>
              <w:t>Sesión conjunta: Gobierno (30) + Sector Privado (10) – SIECA (1)</w:t>
            </w:r>
          </w:p>
        </w:tc>
      </w:tr>
      <w:tr w:rsidR="00B014A0" w14:paraId="366C9F16" w14:textId="77777777" w:rsidTr="003715FC">
        <w:tc>
          <w:tcPr>
            <w:tcW w:w="2122" w:type="dxa"/>
          </w:tcPr>
          <w:p w14:paraId="56DF41C1" w14:textId="1BACA186" w:rsidR="00B014A0" w:rsidRPr="003715FC" w:rsidRDefault="00B014A0" w:rsidP="003715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Horario</w:t>
            </w:r>
          </w:p>
        </w:tc>
        <w:tc>
          <w:tcPr>
            <w:tcW w:w="6706" w:type="dxa"/>
          </w:tcPr>
          <w:p w14:paraId="4DEA73E3" w14:textId="4F152EEC" w:rsidR="00B014A0" w:rsidRPr="003715FC" w:rsidRDefault="00B014A0" w:rsidP="003715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Actividad</w:t>
            </w:r>
          </w:p>
        </w:tc>
      </w:tr>
      <w:tr w:rsidR="003715FC" w14:paraId="1CFD654C" w14:textId="77777777" w:rsidTr="003715FC">
        <w:tc>
          <w:tcPr>
            <w:tcW w:w="2122" w:type="dxa"/>
            <w:vAlign w:val="center"/>
          </w:tcPr>
          <w:p w14:paraId="001FDDBF" w14:textId="1DB21417" w:rsidR="003715FC" w:rsidRDefault="003715FC" w:rsidP="003715FC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08:30 – 09:00</w:t>
            </w:r>
          </w:p>
        </w:tc>
        <w:tc>
          <w:tcPr>
            <w:tcW w:w="6706" w:type="dxa"/>
            <w:vAlign w:val="center"/>
          </w:tcPr>
          <w:p w14:paraId="618A9830" w14:textId="53B9766B" w:rsidR="003715FC" w:rsidRDefault="003715FC" w:rsidP="003715FC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participantes y bienvenida</w:t>
            </w:r>
          </w:p>
        </w:tc>
      </w:tr>
      <w:tr w:rsidR="003715FC" w14:paraId="1959AB0E" w14:textId="77777777" w:rsidTr="003715FC">
        <w:tc>
          <w:tcPr>
            <w:tcW w:w="2122" w:type="dxa"/>
            <w:vAlign w:val="center"/>
          </w:tcPr>
          <w:p w14:paraId="4023E023" w14:textId="0D00CC54" w:rsidR="003715FC" w:rsidRDefault="003715FC" w:rsidP="003715FC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09:00 – 09:30</w:t>
            </w:r>
          </w:p>
        </w:tc>
        <w:tc>
          <w:tcPr>
            <w:tcW w:w="6706" w:type="dxa"/>
            <w:vAlign w:val="center"/>
          </w:tcPr>
          <w:p w14:paraId="3B5A7C27" w14:textId="72AB63BE" w:rsidR="003715FC" w:rsidRDefault="003715FC" w:rsidP="003715FC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Palabras de apertura — Autoridades nacionales y representante de la OMC</w:t>
            </w:r>
          </w:p>
        </w:tc>
      </w:tr>
      <w:tr w:rsidR="003715FC" w14:paraId="629A3E56" w14:textId="77777777" w:rsidTr="003715FC">
        <w:tc>
          <w:tcPr>
            <w:tcW w:w="2122" w:type="dxa"/>
            <w:vAlign w:val="center"/>
          </w:tcPr>
          <w:p w14:paraId="2003E51F" w14:textId="341E56D3" w:rsidR="003715FC" w:rsidRDefault="003715FC" w:rsidP="003715FC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09:30 – 10:30</w:t>
            </w:r>
          </w:p>
        </w:tc>
        <w:tc>
          <w:tcPr>
            <w:tcW w:w="6706" w:type="dxa"/>
            <w:vAlign w:val="center"/>
          </w:tcPr>
          <w:p w14:paraId="14B33CE6" w14:textId="0F06C21D" w:rsidR="003715FC" w:rsidRDefault="003715FC" w:rsidP="003715F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1: Finalidad del Acuerdo OTC y tipos de medidas cubiertas • objetivos legítimos • obstáculos técnicos innecesarios al comercio • relación con otros acuerdos de la OMC • obligaciones generales sobre reglamentos técnicos, normas y procedimientos de evaluación de la conformidad.</w:t>
            </w:r>
          </w:p>
          <w:p w14:paraId="5079901B" w14:textId="08796F76" w:rsidR="003715FC" w:rsidRDefault="003715FC" w:rsidP="003715FC"/>
        </w:tc>
      </w:tr>
      <w:tr w:rsidR="003715FC" w14:paraId="3B804F5D" w14:textId="77777777" w:rsidTr="003715FC">
        <w:tc>
          <w:tcPr>
            <w:tcW w:w="2122" w:type="dxa"/>
            <w:vAlign w:val="center"/>
          </w:tcPr>
          <w:p w14:paraId="525663F9" w14:textId="109D437B" w:rsidR="003715FC" w:rsidRDefault="003715FC" w:rsidP="003715FC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10:30 – 11:00</w:t>
            </w:r>
          </w:p>
        </w:tc>
        <w:tc>
          <w:tcPr>
            <w:tcW w:w="6706" w:type="dxa"/>
            <w:vAlign w:val="center"/>
          </w:tcPr>
          <w:p w14:paraId="57463587" w14:textId="27F9FB5F" w:rsidR="003715FC" w:rsidRDefault="003715FC" w:rsidP="003715FC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☕ Pausa para café</w:t>
            </w:r>
          </w:p>
        </w:tc>
      </w:tr>
      <w:tr w:rsidR="003715FC" w14:paraId="2E9646F2" w14:textId="77777777" w:rsidTr="003715FC">
        <w:tc>
          <w:tcPr>
            <w:tcW w:w="2122" w:type="dxa"/>
            <w:vAlign w:val="center"/>
          </w:tcPr>
          <w:p w14:paraId="76A71281" w14:textId="399811F6" w:rsidR="003715FC" w:rsidRDefault="003715FC" w:rsidP="003715FC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11:00 – 12:30</w:t>
            </w:r>
          </w:p>
        </w:tc>
        <w:tc>
          <w:tcPr>
            <w:tcW w:w="6706" w:type="dxa"/>
            <w:vAlign w:val="center"/>
          </w:tcPr>
          <w:p w14:paraId="027DC90A" w14:textId="115179A7" w:rsidR="003715FC" w:rsidRDefault="003715FC" w:rsidP="003715FC">
            <w:r>
              <w:t>Continuación SESIÓN 1 y ejercicio breve: identificación de medidas OTC; distinción entre reglamento técnico, norma y procedimiento de evaluación de la conformidad; diferencia entre requisito técnico y mecanismo para demostrar cumplimiento.</w:t>
            </w:r>
          </w:p>
        </w:tc>
      </w:tr>
      <w:tr w:rsidR="003715FC" w14:paraId="024664A8" w14:textId="77777777" w:rsidTr="003715FC">
        <w:tc>
          <w:tcPr>
            <w:tcW w:w="2122" w:type="dxa"/>
            <w:vAlign w:val="center"/>
          </w:tcPr>
          <w:p w14:paraId="3A7EB498" w14:textId="07A2A98D" w:rsidR="003715FC" w:rsidRDefault="003715FC" w:rsidP="003715FC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12:30 – 14:00</w:t>
            </w:r>
          </w:p>
        </w:tc>
        <w:tc>
          <w:tcPr>
            <w:tcW w:w="6706" w:type="dxa"/>
            <w:vAlign w:val="center"/>
          </w:tcPr>
          <w:p w14:paraId="29E2F10E" w14:textId="3C2D3864" w:rsidR="003715FC" w:rsidRDefault="003715FC" w:rsidP="003715FC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🍽️ Almuerzo</w:t>
            </w:r>
          </w:p>
        </w:tc>
      </w:tr>
      <w:tr w:rsidR="003715FC" w14:paraId="2BB529C7" w14:textId="77777777" w:rsidTr="003715FC">
        <w:tc>
          <w:tcPr>
            <w:tcW w:w="2122" w:type="dxa"/>
            <w:vAlign w:val="center"/>
          </w:tcPr>
          <w:p w14:paraId="5153F06D" w14:textId="2B05FB70" w:rsidR="003715FC" w:rsidRDefault="003715FC" w:rsidP="003715FC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14:00 – 15:15</w:t>
            </w:r>
          </w:p>
        </w:tc>
        <w:tc>
          <w:tcPr>
            <w:tcW w:w="6706" w:type="dxa"/>
            <w:vAlign w:val="center"/>
          </w:tcPr>
          <w:p w14:paraId="1C3B583F" w14:textId="529715E2" w:rsidR="003715FC" w:rsidRDefault="003715FC" w:rsidP="003715FC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2: Buenas Prácticas de Reglamentación (BPR) • principios y beneficios de las BPR en el ciclo de vida regulatorio • recomendaciones del Comité OTC • análisis de impacto regulatorio y consultas públicas • coordinación entre entidades reguladoras • uso de normas internacionales como base • vínculo entre BPR, transparencia y evaluación de la conformidad.</w:t>
            </w:r>
          </w:p>
        </w:tc>
      </w:tr>
      <w:tr w:rsidR="003715FC" w14:paraId="58952B3A" w14:textId="77777777" w:rsidTr="003715FC">
        <w:tc>
          <w:tcPr>
            <w:tcW w:w="2122" w:type="dxa"/>
            <w:vAlign w:val="center"/>
          </w:tcPr>
          <w:p w14:paraId="39E285B6" w14:textId="5117838B" w:rsidR="003715FC" w:rsidRDefault="003715FC" w:rsidP="003715FC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15:15 – 15:45</w:t>
            </w:r>
          </w:p>
        </w:tc>
        <w:tc>
          <w:tcPr>
            <w:tcW w:w="6706" w:type="dxa"/>
            <w:vAlign w:val="center"/>
          </w:tcPr>
          <w:p w14:paraId="423078C0" w14:textId="2DD915BE" w:rsidR="003715FC" w:rsidRDefault="003715FC" w:rsidP="003715FC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☕ Pausa para café</w:t>
            </w:r>
          </w:p>
        </w:tc>
      </w:tr>
      <w:tr w:rsidR="003715FC" w14:paraId="6A0C303C" w14:textId="77777777" w:rsidTr="003715FC">
        <w:tc>
          <w:tcPr>
            <w:tcW w:w="2122" w:type="dxa"/>
            <w:vAlign w:val="center"/>
          </w:tcPr>
          <w:p w14:paraId="69CA9817" w14:textId="3B36FBD4" w:rsidR="003715FC" w:rsidRDefault="003715FC" w:rsidP="003715FC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15:45 – 17:00</w:t>
            </w:r>
          </w:p>
        </w:tc>
        <w:tc>
          <w:tcPr>
            <w:tcW w:w="6706" w:type="dxa"/>
            <w:vAlign w:val="center"/>
          </w:tcPr>
          <w:p w14:paraId="1C39A218" w14:textId="4BF7BD0E" w:rsidR="003715FC" w:rsidRDefault="003715FC" w:rsidP="003715FC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MESA REDONDA (sector privado): Problemas concretos frente a obstáculos técnicos y evaluación de la conformidad • duplicidad de ensayos • reconocimiento de resultados • costos de cumplimiento • plazos de entrada en vigor • claridad y disponibilidad de información • laboratorios y organismos de evaluación de la conformidad. Producto esperado: insumos para los casos prácticos de los días 2 y 3.</w:t>
            </w:r>
          </w:p>
        </w:tc>
      </w:tr>
    </w:tbl>
    <w:p w14:paraId="32237657" w14:textId="77777777" w:rsidR="00B014A0" w:rsidRDefault="00B014A0"/>
    <w:p w14:paraId="55E24736" w14:textId="77777777" w:rsidR="00B014A0" w:rsidRDefault="00B014A0"/>
    <w:p w14:paraId="031BEB9D" w14:textId="77777777" w:rsidR="00B014A0" w:rsidRDefault="00B014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B014A0" w14:paraId="660BD78C" w14:textId="77777777" w:rsidTr="0033151A">
        <w:tc>
          <w:tcPr>
            <w:tcW w:w="8828" w:type="dxa"/>
            <w:gridSpan w:val="2"/>
          </w:tcPr>
          <w:p w14:paraId="6A17D006" w14:textId="092F6741" w:rsidR="00B014A0" w:rsidRPr="003715FC" w:rsidRDefault="003715FC" w:rsidP="003315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MARTES 20 DE OCTUBRE — Transparencia, notificación y diseño inicial de evaluación de la conformidad</w:t>
            </w:r>
          </w:p>
          <w:p w14:paraId="64EFFEB8" w14:textId="33B68B91" w:rsidR="003715FC" w:rsidRPr="003715FC" w:rsidRDefault="003715FC" w:rsidP="003315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para entidades de gobierno</w:t>
            </w:r>
          </w:p>
        </w:tc>
      </w:tr>
      <w:tr w:rsidR="003715FC" w14:paraId="48E794DB" w14:textId="77777777" w:rsidTr="000C0046">
        <w:tc>
          <w:tcPr>
            <w:tcW w:w="2122" w:type="dxa"/>
          </w:tcPr>
          <w:p w14:paraId="6F58F59D" w14:textId="0E514749" w:rsidR="003715FC" w:rsidRDefault="003715FC" w:rsidP="003715FC">
            <w:pPr>
              <w:jc w:val="center"/>
            </w:pPr>
            <w:r>
              <w:rPr>
                <w:b/>
                <w:bCs/>
              </w:rPr>
              <w:t>Horario</w:t>
            </w:r>
          </w:p>
        </w:tc>
        <w:tc>
          <w:tcPr>
            <w:tcW w:w="6706" w:type="dxa"/>
          </w:tcPr>
          <w:p w14:paraId="42D38D7C" w14:textId="5F2867F3" w:rsidR="003715FC" w:rsidRDefault="003715FC" w:rsidP="003715FC">
            <w:pPr>
              <w:jc w:val="center"/>
            </w:pPr>
            <w:r>
              <w:rPr>
                <w:b/>
                <w:bCs/>
              </w:rPr>
              <w:t>Actividad</w:t>
            </w:r>
          </w:p>
        </w:tc>
      </w:tr>
      <w:tr w:rsidR="003715FC" w14:paraId="7C3E479A" w14:textId="77777777" w:rsidTr="00726481">
        <w:tc>
          <w:tcPr>
            <w:tcW w:w="8828" w:type="dxa"/>
            <w:gridSpan w:val="2"/>
          </w:tcPr>
          <w:p w14:paraId="6229E4E0" w14:textId="7A98EE85" w:rsidR="003715FC" w:rsidRDefault="003715FC" w:rsidP="0033151A">
            <w:r>
              <w:t>EVALUACIÓN DE LA CONFORMIDAD</w:t>
            </w:r>
          </w:p>
        </w:tc>
      </w:tr>
      <w:tr w:rsidR="000C0046" w14:paraId="04854634" w14:textId="77777777" w:rsidTr="000C0046">
        <w:tc>
          <w:tcPr>
            <w:tcW w:w="2122" w:type="dxa"/>
            <w:vAlign w:val="center"/>
          </w:tcPr>
          <w:p w14:paraId="7C4DE42A" w14:textId="6E2775A2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09:00 – 09:15</w:t>
            </w:r>
          </w:p>
        </w:tc>
        <w:tc>
          <w:tcPr>
            <w:tcW w:w="6706" w:type="dxa"/>
            <w:vAlign w:val="center"/>
          </w:tcPr>
          <w:p w14:paraId="53371DF6" w14:textId="58035036" w:rsidR="000C0046" w:rsidRDefault="000C0046" w:rsidP="000C0046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Recapitulación del Día 1 y objetivos del Día 2: pasar de la identificación de la medida a la selección de un mecanismo de evaluación de la conformidad proporcional y, posteriormente, a la decisión de notificar y la gestión de comentarios.</w:t>
            </w:r>
          </w:p>
        </w:tc>
      </w:tr>
      <w:tr w:rsidR="000C0046" w14:paraId="7678F4DB" w14:textId="77777777" w:rsidTr="000C0046">
        <w:tc>
          <w:tcPr>
            <w:tcW w:w="2122" w:type="dxa"/>
            <w:vAlign w:val="center"/>
          </w:tcPr>
          <w:p w14:paraId="07E2F895" w14:textId="64DF481D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09:15 – 10:15</w:t>
            </w:r>
          </w:p>
        </w:tc>
        <w:tc>
          <w:tcPr>
            <w:tcW w:w="6706" w:type="dxa"/>
            <w:vAlign w:val="center"/>
          </w:tcPr>
          <w:p w14:paraId="29672EBE" w14:textId="1229170A" w:rsidR="000C0046" w:rsidRDefault="000C0046" w:rsidP="000C0046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SESIÓN 1: Evaluación de la conformidad en el Acuerdo OTC y directrices G/TBT/54 (2024) • función de los PEC • proporcionalidad, no discriminación y evitación de obstáculos innecesarios • relación entre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diseño del PEC, capacidad institucional y vigilancia de mercado • guía práctica no prescriptiva para reguladores.</w:t>
            </w:r>
          </w:p>
        </w:tc>
      </w:tr>
      <w:tr w:rsidR="000C0046" w14:paraId="6F0949A5" w14:textId="77777777" w:rsidTr="000C0046">
        <w:tc>
          <w:tcPr>
            <w:tcW w:w="2122" w:type="dxa"/>
            <w:vAlign w:val="center"/>
          </w:tcPr>
          <w:p w14:paraId="19565A7D" w14:textId="43B64A18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10:15 – 10:45</w:t>
            </w:r>
          </w:p>
        </w:tc>
        <w:tc>
          <w:tcPr>
            <w:tcW w:w="6706" w:type="dxa"/>
            <w:vAlign w:val="center"/>
          </w:tcPr>
          <w:p w14:paraId="20DA3AAA" w14:textId="7C23E373" w:rsidR="000C0046" w:rsidRDefault="000C0046" w:rsidP="000C0046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☕ Pausa para café</w:t>
            </w:r>
          </w:p>
        </w:tc>
      </w:tr>
      <w:tr w:rsidR="000C0046" w14:paraId="73A8C3D3" w14:textId="77777777" w:rsidTr="000C0046">
        <w:tc>
          <w:tcPr>
            <w:tcW w:w="2122" w:type="dxa"/>
            <w:vAlign w:val="center"/>
          </w:tcPr>
          <w:p w14:paraId="525B407E" w14:textId="57D4EC15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10:45 – 11:45</w:t>
            </w:r>
          </w:p>
        </w:tc>
        <w:tc>
          <w:tcPr>
            <w:tcW w:w="6706" w:type="dxa"/>
            <w:vAlign w:val="center"/>
          </w:tcPr>
          <w:p w14:paraId="11C5FDDD" w14:textId="4D6591EE" w:rsidR="000C0046" w:rsidRDefault="000C0046" w:rsidP="000C0046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2: Selección proporcional del mecanismo de evaluación de la conformidad • espectro de mecanismos • matriz basada en riesgo real, evidencia técnica, capacidad de vigilancia, costos para operadores y alternativas menos restrictivas • balance entre control previo y vigilancia posterior • efectos en tiempos, duplicación y acceso al mercado.</w:t>
            </w:r>
          </w:p>
        </w:tc>
      </w:tr>
      <w:tr w:rsidR="000C0046" w14:paraId="0C2F01D1" w14:textId="77777777" w:rsidTr="000C0046">
        <w:tc>
          <w:tcPr>
            <w:tcW w:w="2122" w:type="dxa"/>
            <w:vAlign w:val="center"/>
          </w:tcPr>
          <w:p w14:paraId="2C6D6CDD" w14:textId="0EB59F4D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11:45 – 12:30</w:t>
            </w:r>
          </w:p>
        </w:tc>
        <w:tc>
          <w:tcPr>
            <w:tcW w:w="6706" w:type="dxa"/>
            <w:vAlign w:val="center"/>
          </w:tcPr>
          <w:p w14:paraId="7CF633D2" w14:textId="4C9C333F" w:rsidR="000C0046" w:rsidRDefault="000C0046" w:rsidP="000C0046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Continuación SESIÓN 2 y ejercicio práctico: aplicación de la matriz de selección a ejemplos concretos de productos con distintos perfiles de riesgo.</w:t>
            </w:r>
          </w:p>
        </w:tc>
      </w:tr>
      <w:tr w:rsidR="000C0046" w14:paraId="0A573322" w14:textId="77777777" w:rsidTr="000C0046">
        <w:tc>
          <w:tcPr>
            <w:tcW w:w="2122" w:type="dxa"/>
            <w:vAlign w:val="center"/>
          </w:tcPr>
          <w:p w14:paraId="02657297" w14:textId="4F89D25D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12:30 – 14:00</w:t>
            </w:r>
          </w:p>
        </w:tc>
        <w:tc>
          <w:tcPr>
            <w:tcW w:w="6706" w:type="dxa"/>
            <w:vAlign w:val="center"/>
          </w:tcPr>
          <w:p w14:paraId="08E9BF29" w14:textId="07D9B348" w:rsidR="000C0046" w:rsidRDefault="000C0046" w:rsidP="000C0046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🍽️ Almuerzo</w:t>
            </w:r>
          </w:p>
        </w:tc>
      </w:tr>
      <w:tr w:rsidR="000C0046" w14:paraId="596E555B" w14:textId="77777777" w:rsidTr="003820D7">
        <w:tc>
          <w:tcPr>
            <w:tcW w:w="8828" w:type="dxa"/>
            <w:gridSpan w:val="2"/>
          </w:tcPr>
          <w:p w14:paraId="2338E9CE" w14:textId="1F66E549" w:rsidR="000C0046" w:rsidRDefault="000C0046" w:rsidP="0033151A">
            <w:r>
              <w:t>TRANSPARENCIA</w:t>
            </w:r>
          </w:p>
        </w:tc>
      </w:tr>
      <w:tr w:rsidR="000C0046" w14:paraId="3204719F" w14:textId="77777777" w:rsidTr="005538DA">
        <w:tc>
          <w:tcPr>
            <w:tcW w:w="2122" w:type="dxa"/>
            <w:vAlign w:val="center"/>
          </w:tcPr>
          <w:p w14:paraId="78CD75DF" w14:textId="4976DC7D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14:00 – 15:00</w:t>
            </w:r>
          </w:p>
        </w:tc>
        <w:tc>
          <w:tcPr>
            <w:tcW w:w="6706" w:type="dxa"/>
            <w:vAlign w:val="center"/>
          </w:tcPr>
          <w:p w14:paraId="7D2FE8D7" w14:textId="6FF57F60" w:rsidR="000C0046" w:rsidRDefault="000C0046" w:rsidP="000C0046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SESIÓN 3: Obligaciones de transparencia y decisión de notificar • notificación ordinaria y medidas urgentes • Arts. 2.9 y 2.10: reglamentos técnicos • Arts. 5.6 y 5.7: procedimientos de evaluación de la conformidad • identificación de medidas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notificables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y modificables • contenido mínimo de la notificación • descripción del objetivo legítimo • rol del Punto de Información OTC.</w:t>
            </w:r>
          </w:p>
        </w:tc>
      </w:tr>
      <w:tr w:rsidR="008B48D5" w14:paraId="086B967B" w14:textId="77777777">
        <w:tc>
          <w:tcPr>
            <w:tcW w:w="2122" w:type="dxa"/>
            <w:vAlign w:val="center"/>
          </w:tcPr>
          <w:p w14:paraId="5DEEFEDE" w14:textId="77777777" w:rsidR="008B48D5" w:rsidRDefault="00587014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15:00 – 16:00</w:t>
            </w:r>
          </w:p>
        </w:tc>
        <w:tc>
          <w:tcPr>
            <w:tcW w:w="6706" w:type="dxa"/>
            <w:vAlign w:val="center"/>
          </w:tcPr>
          <w:p w14:paraId="34B46AA2" w14:textId="323A479A" w:rsidR="008B48D5" w:rsidRDefault="00587014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SESIÓN 4: Taller práctico de notificación OTC y uso de la plataforma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ePing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• qué se notifica, cuándo y cómo • gestión de comentarios de otros Miembros • valoración de cambios sustanciales • registro documental de la decisión de notificar o no notificar • alertas y seguimiento de notificaciones mediante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ePing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• buenas prácticas y casos ilustrativos ► Experta: Jane Greenleaves (OMC, Ginebra</w:t>
            </w:r>
            <w:r w:rsidR="00EE76E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virtual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).</w:t>
            </w:r>
          </w:p>
        </w:tc>
      </w:tr>
      <w:tr w:rsidR="000C0046" w14:paraId="31777771" w14:textId="77777777" w:rsidTr="005538DA">
        <w:tc>
          <w:tcPr>
            <w:tcW w:w="2122" w:type="dxa"/>
            <w:vAlign w:val="center"/>
          </w:tcPr>
          <w:p w14:paraId="6F87C1CB" w14:textId="38246928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16:00 – 16:30</w:t>
            </w:r>
          </w:p>
        </w:tc>
        <w:tc>
          <w:tcPr>
            <w:tcW w:w="6706" w:type="dxa"/>
            <w:vAlign w:val="center"/>
          </w:tcPr>
          <w:p w14:paraId="46226B34" w14:textId="45BF986A" w:rsidR="000C0046" w:rsidRDefault="000C0046" w:rsidP="000C0046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☕ Pausa para café</w:t>
            </w:r>
          </w:p>
        </w:tc>
      </w:tr>
      <w:tr w:rsidR="000C0046" w14:paraId="66AA84FF" w14:textId="77777777" w:rsidTr="005538DA">
        <w:tc>
          <w:tcPr>
            <w:tcW w:w="2122" w:type="dxa"/>
            <w:vAlign w:val="center"/>
          </w:tcPr>
          <w:p w14:paraId="4F2E03D0" w14:textId="67E2F0EE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16:30 – 17:15</w:t>
            </w:r>
          </w:p>
        </w:tc>
        <w:tc>
          <w:tcPr>
            <w:tcW w:w="6706" w:type="dxa"/>
            <w:vAlign w:val="center"/>
          </w:tcPr>
          <w:p w14:paraId="335533A1" w14:textId="0841CCA8" w:rsidR="00CF6FEB" w:rsidRPr="00CF6FEB" w:rsidRDefault="00CF6FEB" w:rsidP="000C004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5: Mecanismos de transparencia y notificación en Centroamérica • coordinación regional de notificaciones OTC en el marco de SIECA • articulación con procedimientos nacionales • retos y lecciones aprendidas ► Expositor: SIECA.</w:t>
            </w:r>
          </w:p>
        </w:tc>
      </w:tr>
      <w:tr w:rsidR="000C0046" w14:paraId="20649F35" w14:textId="77777777" w:rsidTr="005538DA">
        <w:tc>
          <w:tcPr>
            <w:tcW w:w="2122" w:type="dxa"/>
            <w:vAlign w:val="center"/>
          </w:tcPr>
          <w:p w14:paraId="0185C796" w14:textId="394D74E8" w:rsidR="000C0046" w:rsidRDefault="000C0046" w:rsidP="000C0046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17:15 – 17:30</w:t>
            </w:r>
          </w:p>
        </w:tc>
        <w:tc>
          <w:tcPr>
            <w:tcW w:w="6706" w:type="dxa"/>
            <w:vAlign w:val="center"/>
          </w:tcPr>
          <w:p w14:paraId="044684E3" w14:textId="7685E59B" w:rsidR="000C0046" w:rsidRDefault="000C0046" w:rsidP="000C0046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Síntesis y preparación para el Día 3: infraestructura de calidad, vigilancia de mercado, aceptación de resultados, equivalencia y reconocimiento mutuo.</w:t>
            </w:r>
          </w:p>
        </w:tc>
      </w:tr>
    </w:tbl>
    <w:p w14:paraId="36BD1EDA" w14:textId="77777777" w:rsidR="00B014A0" w:rsidRDefault="00B014A0" w:rsidP="00B014A0"/>
    <w:p w14:paraId="3770295F" w14:textId="77777777" w:rsidR="00B014A0" w:rsidRDefault="00B014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B014A0" w14:paraId="36DA2E30" w14:textId="77777777" w:rsidTr="0033151A">
        <w:tc>
          <w:tcPr>
            <w:tcW w:w="8828" w:type="dxa"/>
            <w:gridSpan w:val="2"/>
          </w:tcPr>
          <w:p w14:paraId="4C029405" w14:textId="5F54F59D" w:rsidR="00B014A0" w:rsidRDefault="007230A2" w:rsidP="003315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MIÉRCOLES 21 DE OCTUBRE — Evaluación de la conformidad aplicada: infraestructura de calidad, reconocimiento y casos prácticos</w:t>
            </w:r>
          </w:p>
          <w:p w14:paraId="04D9E95C" w14:textId="62A40EAB" w:rsidR="007230A2" w:rsidRPr="007230A2" w:rsidRDefault="007230A2" w:rsidP="003315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para entidades de gobierno</w:t>
            </w:r>
          </w:p>
        </w:tc>
      </w:tr>
      <w:tr w:rsidR="003715FC" w14:paraId="2860F66C" w14:textId="77777777" w:rsidTr="000C0046">
        <w:tc>
          <w:tcPr>
            <w:tcW w:w="2122" w:type="dxa"/>
          </w:tcPr>
          <w:p w14:paraId="6B2AB104" w14:textId="3F1A18C5" w:rsidR="003715FC" w:rsidRDefault="003715FC" w:rsidP="003715FC">
            <w:pPr>
              <w:jc w:val="center"/>
            </w:pPr>
            <w:r>
              <w:rPr>
                <w:b/>
                <w:bCs/>
              </w:rPr>
              <w:t>Horario</w:t>
            </w:r>
          </w:p>
        </w:tc>
        <w:tc>
          <w:tcPr>
            <w:tcW w:w="6706" w:type="dxa"/>
          </w:tcPr>
          <w:p w14:paraId="5FD5CE87" w14:textId="67350126" w:rsidR="003715FC" w:rsidRDefault="003715FC" w:rsidP="003715FC">
            <w:pPr>
              <w:jc w:val="center"/>
            </w:pPr>
            <w:r>
              <w:rPr>
                <w:b/>
                <w:bCs/>
              </w:rPr>
              <w:t>Actividad</w:t>
            </w:r>
          </w:p>
        </w:tc>
      </w:tr>
      <w:tr w:rsidR="007230A2" w14:paraId="03C0A13F" w14:textId="77777777" w:rsidTr="00696789">
        <w:tc>
          <w:tcPr>
            <w:tcW w:w="2122" w:type="dxa"/>
            <w:vAlign w:val="center"/>
          </w:tcPr>
          <w:p w14:paraId="2ADA5DDC" w14:textId="31734D2C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09:00 – 09:15</w:t>
            </w:r>
          </w:p>
        </w:tc>
        <w:tc>
          <w:tcPr>
            <w:tcW w:w="6706" w:type="dxa"/>
            <w:vAlign w:val="center"/>
          </w:tcPr>
          <w:p w14:paraId="164F857C" w14:textId="1A038A57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Recapitulación del Día 2 y objetivos del Día 3: aplicar la lógica de proporcionalidad del PEC a supuestos concretos y valorar alternativas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SDoC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vigilancia de mercado, aceptación de resultados, equivalencia y reconocimiento mutuo.</w:t>
            </w:r>
          </w:p>
        </w:tc>
      </w:tr>
      <w:tr w:rsidR="007230A2" w14:paraId="0607301B" w14:textId="77777777" w:rsidTr="00696789">
        <w:tc>
          <w:tcPr>
            <w:tcW w:w="2122" w:type="dxa"/>
            <w:vAlign w:val="center"/>
          </w:tcPr>
          <w:p w14:paraId="0FF68E09" w14:textId="3A46339E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09:15 – 10:30</w:t>
            </w:r>
          </w:p>
        </w:tc>
        <w:tc>
          <w:tcPr>
            <w:tcW w:w="6706" w:type="dxa"/>
            <w:vAlign w:val="center"/>
          </w:tcPr>
          <w:p w14:paraId="00B39FD4" w14:textId="3713330F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1: Infraestructura Nacional de la Calidad (NQI) como condición habilitante para la evaluación de la conformidad • NQI como base estratégica de sistemas regulatorios verificables y confiables • coordinación entre normalización, metrología, acreditación, certificación, inspección, ensayo y vigilancia de mercado • seguimiento de normas incorporadas por referencia • acreditación ILAC/IAF/IAAC como elemento de confianza para aceptar resultados ► Sesión temática del Día PEC, Comité OTC (3 marzo 2026). ► Formato propuesto: introducción a cargo de la OMC (labor del Comité OTC y disposiciones pertinentes del Acuerdo OTC), seguida de una parte práctica a cargo de un experto regional (por confirmar).</w:t>
            </w:r>
          </w:p>
        </w:tc>
      </w:tr>
      <w:tr w:rsidR="007230A2" w14:paraId="180F446C" w14:textId="77777777" w:rsidTr="00696789">
        <w:tc>
          <w:tcPr>
            <w:tcW w:w="2122" w:type="dxa"/>
            <w:vAlign w:val="center"/>
          </w:tcPr>
          <w:p w14:paraId="5CCD361A" w14:textId="058607B3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10:30 – 11:00</w:t>
            </w:r>
          </w:p>
        </w:tc>
        <w:tc>
          <w:tcPr>
            <w:tcW w:w="6706" w:type="dxa"/>
            <w:vAlign w:val="center"/>
          </w:tcPr>
          <w:p w14:paraId="47A174EB" w14:textId="6246EA61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☕ Pausa para café</w:t>
            </w:r>
          </w:p>
        </w:tc>
      </w:tr>
      <w:tr w:rsidR="007230A2" w14:paraId="31110ED1" w14:textId="77777777" w:rsidTr="00696789">
        <w:tc>
          <w:tcPr>
            <w:tcW w:w="2122" w:type="dxa"/>
            <w:vAlign w:val="center"/>
          </w:tcPr>
          <w:p w14:paraId="1CC0B00A" w14:textId="56313147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11:00 – 12:15</w:t>
            </w:r>
          </w:p>
        </w:tc>
        <w:tc>
          <w:tcPr>
            <w:tcW w:w="6706" w:type="dxa"/>
            <w:vAlign w:val="center"/>
          </w:tcPr>
          <w:p w14:paraId="272E2A14" w14:textId="1655B437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2: Declaración de conformidad de primera parte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SDoC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 y vigilancia de mercado • cuándo puede ser apropiada, especialmente en productos de bajo riesgo • condiciones mínimas: norma técnica robusta, identificación del producto, evidencia técnica, expediente de respaldo, trazabilidad documental, responsabilidad del proveedor y disponibilidad ante la autoridad • vigilancia basada en impacto, probabilidad, quejas, historial de incumplimiento, exposición de mercado y cambios tecnológicos • uso costo-eficiente sin comprometer el objetivo legítimo ► Sesión temática del Día PEC, Comité OTC (3 marzo 2026). ► Formato propuesto: panorama inicial de las directrices a cargo de la OMC para abrir el debate, seguido de un desarrollo práctico a cargo de un experto (por confirmar).</w:t>
            </w:r>
          </w:p>
        </w:tc>
      </w:tr>
      <w:tr w:rsidR="007230A2" w14:paraId="270D79F3" w14:textId="77777777" w:rsidTr="00696789">
        <w:tc>
          <w:tcPr>
            <w:tcW w:w="2122" w:type="dxa"/>
            <w:vAlign w:val="center"/>
          </w:tcPr>
          <w:p w14:paraId="767241B0" w14:textId="0007637E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12:15 – 13:00</w:t>
            </w:r>
          </w:p>
        </w:tc>
        <w:tc>
          <w:tcPr>
            <w:tcW w:w="6706" w:type="dxa"/>
            <w:vAlign w:val="center"/>
          </w:tcPr>
          <w:p w14:paraId="184EEE02" w14:textId="783345B4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3: Aceptación de resultados, equivalencia, reconocimiento mutuo y Acuerdos de Reconocimiento Mutuo (ARM) • Art. 6 del Acuerdo OTC • diferencia entre aceptar resultados, reconocer sistemas y suscribir ARM • confianza regulatoria: competencia técnica, acreditación, transparencia y seguimiento • uso efectivo por operadores económicos, sectores cubiertos y organismos reconocidos • beneficios y límites para economías en desarrollo ► Sesión temática del Día PEC, Comité OTC (3 marzo 2026).</w:t>
            </w:r>
          </w:p>
        </w:tc>
      </w:tr>
      <w:tr w:rsidR="007230A2" w14:paraId="1F8CD4C2" w14:textId="77777777" w:rsidTr="00696789">
        <w:tc>
          <w:tcPr>
            <w:tcW w:w="2122" w:type="dxa"/>
            <w:vAlign w:val="center"/>
          </w:tcPr>
          <w:p w14:paraId="4B0C3419" w14:textId="79BFC561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13:00 – 14:00</w:t>
            </w:r>
          </w:p>
        </w:tc>
        <w:tc>
          <w:tcPr>
            <w:tcW w:w="6706" w:type="dxa"/>
            <w:vAlign w:val="center"/>
          </w:tcPr>
          <w:p w14:paraId="2E376E3D" w14:textId="559A7D34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🍽️ Almuerzo</w:t>
            </w:r>
          </w:p>
        </w:tc>
      </w:tr>
      <w:tr w:rsidR="007230A2" w14:paraId="4F3F5B0C" w14:textId="77777777" w:rsidTr="00696789">
        <w:tc>
          <w:tcPr>
            <w:tcW w:w="2122" w:type="dxa"/>
            <w:vAlign w:val="center"/>
          </w:tcPr>
          <w:p w14:paraId="78CACB99" w14:textId="333A7E6B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14:00 – 14:45</w:t>
            </w:r>
          </w:p>
        </w:tc>
        <w:tc>
          <w:tcPr>
            <w:tcW w:w="6706" w:type="dxa"/>
            <w:vAlign w:val="center"/>
          </w:tcPr>
          <w:p w14:paraId="16F1A478" w14:textId="4C9644E3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4 - EXPERIENCIA REGIONAL: NQI, acreditación, aceptación de resultados y reconocimiento en Centroamérica • red IAAC y vinculación con ILAC/IAF • avances y limitaciones para la aceptación regional de resultados de evaluación de la conformidad • necesidades de coordinación entre autoridades, organismos de evaluación y usuarios empresariales • casos de armonización regional en sectores prioritarios ► Expositor: SIECA</w:t>
            </w:r>
          </w:p>
        </w:tc>
      </w:tr>
      <w:tr w:rsidR="007230A2" w14:paraId="0E09DBD7" w14:textId="77777777" w:rsidTr="00696789">
        <w:tc>
          <w:tcPr>
            <w:tcW w:w="2122" w:type="dxa"/>
            <w:vAlign w:val="center"/>
          </w:tcPr>
          <w:p w14:paraId="4C94B1D4" w14:textId="28DA37A5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14:45 – 15:45</w:t>
            </w:r>
          </w:p>
        </w:tc>
        <w:tc>
          <w:tcPr>
            <w:tcW w:w="6706" w:type="dxa"/>
            <w:vAlign w:val="center"/>
          </w:tcPr>
          <w:p w14:paraId="7F76DD04" w14:textId="0578D88B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ANÁLISIS DE CASOS: Decisión regulatoria en la práctica • productos con distintos perfiles de riesgo y objetivos legítimos • identificación de la medida OTC • decisión de notificar • selección del mecanismo más proporcional • balance entre control previo y vigilancia posterior • condiciones para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SDoC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 certificación de tercera parte • oportunidades de aceptación de resultados, equivalencia o reconocimiento • trazabilidad de la decisión ► Expositor: (por definir)</w:t>
            </w:r>
          </w:p>
        </w:tc>
      </w:tr>
      <w:tr w:rsidR="007230A2" w14:paraId="59C9666E" w14:textId="77777777" w:rsidTr="00696789">
        <w:tc>
          <w:tcPr>
            <w:tcW w:w="2122" w:type="dxa"/>
            <w:vAlign w:val="center"/>
          </w:tcPr>
          <w:p w14:paraId="2B438479" w14:textId="3E1873EE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15:45 – 16:15</w:t>
            </w:r>
          </w:p>
        </w:tc>
        <w:tc>
          <w:tcPr>
            <w:tcW w:w="6706" w:type="dxa"/>
            <w:vAlign w:val="center"/>
          </w:tcPr>
          <w:p w14:paraId="583DE6BB" w14:textId="22C2184C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☕ Pausa para café</w:t>
            </w:r>
          </w:p>
        </w:tc>
      </w:tr>
      <w:tr w:rsidR="007230A2" w14:paraId="73DA5C98" w14:textId="77777777" w:rsidTr="00696789">
        <w:tc>
          <w:tcPr>
            <w:tcW w:w="2122" w:type="dxa"/>
            <w:vAlign w:val="center"/>
          </w:tcPr>
          <w:p w14:paraId="1E6B6347" w14:textId="498C449A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16:15 – 16:55</w:t>
            </w:r>
          </w:p>
        </w:tc>
        <w:tc>
          <w:tcPr>
            <w:tcW w:w="6706" w:type="dxa"/>
            <w:vAlign w:val="center"/>
          </w:tcPr>
          <w:p w14:paraId="18CC620D" w14:textId="595F64CC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SESIÓN DE BALANCE: Síntesis participativa del taller • principales mensajes y aprendizajes de los tres días • intercambio abierto con los participantes sobre prioridades y seguimiento • moderación a cargo de la OMC, en preparación de la plenaria de cierre.</w:t>
            </w:r>
          </w:p>
        </w:tc>
      </w:tr>
      <w:tr w:rsidR="007230A2" w14:paraId="4B9EF151" w14:textId="77777777" w:rsidTr="00696789">
        <w:tc>
          <w:tcPr>
            <w:tcW w:w="2122" w:type="dxa"/>
            <w:vAlign w:val="center"/>
          </w:tcPr>
          <w:p w14:paraId="1B1F2530" w14:textId="738C32B6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16:55 – 17:30</w:t>
            </w:r>
          </w:p>
        </w:tc>
        <w:tc>
          <w:tcPr>
            <w:tcW w:w="6706" w:type="dxa"/>
            <w:vAlign w:val="center"/>
          </w:tcPr>
          <w:p w14:paraId="14E2608E" w14:textId="54C75C09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PLENARIA DE CIERRE: Conclusiones, compromisos institucionales y próximos pasos • principales aprendizajes • acciones de mejora en transparencia y evaluación de la conformidad • necesidades de asistencia técnica.</w:t>
            </w:r>
          </w:p>
        </w:tc>
      </w:tr>
      <w:tr w:rsidR="007230A2" w14:paraId="499EB5E6" w14:textId="77777777" w:rsidTr="00696789">
        <w:tc>
          <w:tcPr>
            <w:tcW w:w="2122" w:type="dxa"/>
            <w:vAlign w:val="center"/>
          </w:tcPr>
          <w:p w14:paraId="306C8CEE" w14:textId="7F22AD6B" w:rsidR="007230A2" w:rsidRDefault="007230A2" w:rsidP="007230A2"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17:30 – 17:45</w:t>
            </w:r>
          </w:p>
        </w:tc>
        <w:tc>
          <w:tcPr>
            <w:tcW w:w="6706" w:type="dxa"/>
            <w:vAlign w:val="center"/>
          </w:tcPr>
          <w:p w14:paraId="4F675117" w14:textId="755026DE" w:rsidR="007230A2" w:rsidRDefault="007230A2" w:rsidP="007230A2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Clausura oficial</w:t>
            </w:r>
          </w:p>
        </w:tc>
      </w:tr>
    </w:tbl>
    <w:p w14:paraId="2B9C8013" w14:textId="77777777" w:rsidR="00B014A0" w:rsidRDefault="00B014A0" w:rsidP="00B014A0"/>
    <w:p w14:paraId="0D250F23" w14:textId="77777777" w:rsidR="00B014A0" w:rsidRDefault="00B014A0" w:rsidP="00B014A0"/>
    <w:sectPr w:rsidR="00B014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A0"/>
    <w:rsid w:val="000C0046"/>
    <w:rsid w:val="00164890"/>
    <w:rsid w:val="001E6C03"/>
    <w:rsid w:val="002F16AE"/>
    <w:rsid w:val="003715FC"/>
    <w:rsid w:val="00395BD8"/>
    <w:rsid w:val="00396A4C"/>
    <w:rsid w:val="003D2A43"/>
    <w:rsid w:val="00473054"/>
    <w:rsid w:val="007230A2"/>
    <w:rsid w:val="00745AEE"/>
    <w:rsid w:val="008138FC"/>
    <w:rsid w:val="008B48D5"/>
    <w:rsid w:val="009300D0"/>
    <w:rsid w:val="00AA1FD4"/>
    <w:rsid w:val="00B014A0"/>
    <w:rsid w:val="00BA37BF"/>
    <w:rsid w:val="00CF6FEB"/>
    <w:rsid w:val="00D24295"/>
    <w:rsid w:val="00D55ACE"/>
    <w:rsid w:val="00DB3EA7"/>
    <w:rsid w:val="00E67725"/>
    <w:rsid w:val="00EE76EB"/>
    <w:rsid w:val="00F9761F"/>
    <w:rsid w:val="00FC0909"/>
    <w:rsid w:val="00F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58CF"/>
  <w15:chartTrackingRefBased/>
  <w15:docId w15:val="{D0D04E55-F971-4684-BF92-4771B7D6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4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4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4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4A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4A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4A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4A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4A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4A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4A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4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4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4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4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4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4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4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4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4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1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37BF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140bea-b5bf-4afd-8196-f2c48cbe0182">
      <Terms xmlns="http://schemas.microsoft.com/office/infopath/2007/PartnerControls"/>
    </lcf76f155ced4ddcb4097134ff3c332f>
    <TaxCatchAll xmlns="f66824ba-00c3-4631-972b-329431d98589" xsi:nil="true"/>
  </documentManagement>
</p:properties>
</file>

<file path=customXml/item3.xml><?xml version="1.0" encoding="utf-8"?>
<titus xmlns="http://schemas.titus.com/TitusProperties/">
  <TitusGUID xmlns="">81c5850b-cf46-46fd-aaf7-a013a6c0eabb</TitusGUID>
  <TitusMetadata xmlns="">eyJucyI6Imh0dHA6XC9cL3d3dy50aXR1cy5jb21cL25zXC9Xb3JsZCBUcmFkZSBPcmdhbml6YXRpb24iLCJwcm9wcyI6W3sibiI6IldUT0NMQVNTSUZJQ0FUSU9OIiwidmFscyI6W3sidmFsdWUiOiJJTlRFUk5BTCJ9XX1dfQ==</TitusMetadata>
</titu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3DEBA3F971AB44A487A43837691100" ma:contentTypeVersion="16" ma:contentTypeDescription="Crear nuevo documento." ma:contentTypeScope="" ma:versionID="06a352bb94e1b62a20fe5aa0ba028e24">
  <xsd:schema xmlns:xsd="http://www.w3.org/2001/XMLSchema" xmlns:xs="http://www.w3.org/2001/XMLSchema" xmlns:p="http://schemas.microsoft.com/office/2006/metadata/properties" xmlns:ns2="71140bea-b5bf-4afd-8196-f2c48cbe0182" xmlns:ns3="f66824ba-00c3-4631-972b-329431d98589" targetNamespace="http://schemas.microsoft.com/office/2006/metadata/properties" ma:root="true" ma:fieldsID="62409ae193b388c98422d860fe4a1b31" ns2:_="" ns3:_="">
    <xsd:import namespace="71140bea-b5bf-4afd-8196-f2c48cbe0182"/>
    <xsd:import namespace="f66824ba-00c3-4631-972b-329431d98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40bea-b5bf-4afd-8196-f2c48cbe0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65f1411-e02a-4b79-af47-7c9e711ab7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824ba-00c3-4631-972b-329431d98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f206906-70df-4f5b-a89d-d43add97294a}" ma:internalName="TaxCatchAll" ma:showField="CatchAllData" ma:web="f66824ba-00c3-4631-972b-329431d98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CD5132-4526-48F4-9E6C-52F10985F9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DB63D0-CA9E-4D82-AF56-9926A485726A}">
  <ds:schemaRefs>
    <ds:schemaRef ds:uri="http://schemas.microsoft.com/office/2006/metadata/properties"/>
    <ds:schemaRef ds:uri="http://schemas.microsoft.com/office/infopath/2007/PartnerControls"/>
    <ds:schemaRef ds:uri="71140bea-b5bf-4afd-8196-f2c48cbe0182"/>
    <ds:schemaRef ds:uri="f66824ba-00c3-4631-972b-329431d98589"/>
  </ds:schemaRefs>
</ds:datastoreItem>
</file>

<file path=customXml/itemProps3.xml><?xml version="1.0" encoding="utf-8"?>
<ds:datastoreItem xmlns:ds="http://schemas.openxmlformats.org/officeDocument/2006/customXml" ds:itemID="{BB95D161-6146-4264-89FF-12B41EA33275}">
  <ds:schemaRefs>
    <ds:schemaRef ds:uri="http://schemas.titus.com/TitusProperties/"/>
    <ds:schemaRef ds:uri=""/>
  </ds:schemaRefs>
</ds:datastoreItem>
</file>

<file path=customXml/itemProps4.xml><?xml version="1.0" encoding="utf-8"?>
<ds:datastoreItem xmlns:ds="http://schemas.openxmlformats.org/officeDocument/2006/customXml" ds:itemID="{32425F4E-B4EA-408C-A085-C12996262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40bea-b5bf-4afd-8196-f2c48cbe0182"/>
    <ds:schemaRef ds:uri="f66824ba-00c3-4631-972b-329431d98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Cortés Arguedas</dc:creator>
  <cp:keywords/>
  <dc:description/>
  <cp:lastModifiedBy>Arencibia Gonzalez, Susana</cp:lastModifiedBy>
  <cp:revision>3</cp:revision>
  <dcterms:created xsi:type="dcterms:W3CDTF">2026-08-24T07:44:00Z</dcterms:created>
  <dcterms:modified xsi:type="dcterms:W3CDTF">2026-08-24T07:44:00Z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0x010100773DEBA3F971AB44A487A43837691100</vt:lpwstr>
  </property>
  <property fmtid="{D5CDD505-2E9C-101B-9397-08002B2CF9AE}" pid="3" name="TitusGUID">
    <vt:lpwstr>81c5850b-cf46-46fd-aaf7-a013a6c0eabb</vt:lpwstr>
  </property>
  <property fmtid="{D5CDD505-2E9C-101B-9397-08002B2CF9AE}" pid="4" name="WTOCLASSIFICATION">
    <vt:lpwstr>INTERNAL</vt:lpwstr>
  </property>
</Properties>
</file>