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4ACA" w14:textId="25042D06" w:rsidR="00FC4287" w:rsidRDefault="002C57CD" w:rsidP="00DF7086">
      <w:pPr>
        <w:spacing w:after="0"/>
        <w:rPr>
          <w:rFonts w:ascii="Arial" w:hAnsi="Arial" w:cs="Arial"/>
          <w:color w:val="00B0F0"/>
          <w:lang w:val="en-US"/>
        </w:rPr>
      </w:pPr>
      <w:r w:rsidRPr="002E6B23">
        <w:rPr>
          <w:noProof/>
          <w:sz w:val="20"/>
          <w:lang w:val="en-US" w:bidi="ar-SA"/>
        </w:rPr>
        <w:drawing>
          <wp:anchor distT="0" distB="0" distL="114300" distR="114300" simplePos="0" relativeHeight="251659264" behindDoc="0" locked="0" layoutInCell="1" allowOverlap="1" wp14:anchorId="2D1EDBDC" wp14:editId="15B8552C">
            <wp:simplePos x="0" y="0"/>
            <wp:positionH relativeFrom="column">
              <wp:posOffset>1905163</wp:posOffset>
            </wp:positionH>
            <wp:positionV relativeFrom="paragraph">
              <wp:posOffset>-419735</wp:posOffset>
            </wp:positionV>
            <wp:extent cx="1710055" cy="720090"/>
            <wp:effectExtent l="0" t="0" r="4445" b="3810"/>
            <wp:wrapNone/>
            <wp:docPr id="1877641832" name="Picture 1877641832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013" b="37247"/>
                    <a:stretch/>
                  </pic:blipFill>
                  <pic:spPr bwMode="auto">
                    <a:xfrm>
                      <a:off x="0" y="0"/>
                      <a:ext cx="1710055" cy="720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B84">
        <w:rPr>
          <w:noProof/>
          <w:lang w:val="en-US" w:bidi="ar-SA"/>
        </w:rPr>
        <w:drawing>
          <wp:anchor distT="0" distB="0" distL="114300" distR="114300" simplePos="0" relativeHeight="251661312" behindDoc="0" locked="0" layoutInCell="1" allowOverlap="1" wp14:anchorId="1BE0E374" wp14:editId="2C400444">
            <wp:simplePos x="0" y="0"/>
            <wp:positionH relativeFrom="column">
              <wp:posOffset>3762212</wp:posOffset>
            </wp:positionH>
            <wp:positionV relativeFrom="paragraph">
              <wp:posOffset>-410210</wp:posOffset>
            </wp:positionV>
            <wp:extent cx="2211070" cy="660400"/>
            <wp:effectExtent l="0" t="0" r="0" b="0"/>
            <wp:wrapNone/>
            <wp:docPr id="657388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287">
        <w:rPr>
          <w:rFonts w:ascii="Arial" w:hAnsi="Arial" w:cs="Arial"/>
          <w:noProof/>
          <w:color w:val="00B0F0"/>
          <w:lang w:val="en-US" w:bidi="ar-SA"/>
        </w:rPr>
        <w:drawing>
          <wp:anchor distT="0" distB="0" distL="114300" distR="114300" simplePos="0" relativeHeight="251662336" behindDoc="0" locked="0" layoutInCell="1" allowOverlap="1" wp14:anchorId="5762C927" wp14:editId="5FCF64BE">
            <wp:simplePos x="0" y="0"/>
            <wp:positionH relativeFrom="column">
              <wp:posOffset>112</wp:posOffset>
            </wp:positionH>
            <wp:positionV relativeFrom="paragraph">
              <wp:posOffset>-443620</wp:posOffset>
            </wp:positionV>
            <wp:extent cx="1562100" cy="739193"/>
            <wp:effectExtent l="0" t="0" r="0" b="0"/>
            <wp:wrapNone/>
            <wp:docPr id="1169528321" name="Picture 1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A5971C9-BD5D-4C0D-6209-D0246258D7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9A5971C9-BD5D-4C0D-6209-D0246258D7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4" t="23901" r="18162" b="29877"/>
                    <a:stretch/>
                  </pic:blipFill>
                  <pic:spPr>
                    <a:xfrm>
                      <a:off x="0" y="0"/>
                      <a:ext cx="1562100" cy="739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C0C64" w14:textId="1708CC17" w:rsidR="00DF7086" w:rsidRPr="00E85086" w:rsidRDefault="00DF7086" w:rsidP="00DF7086">
      <w:pPr>
        <w:spacing w:after="0"/>
        <w:rPr>
          <w:rFonts w:ascii="Arial" w:hAnsi="Arial" w:cs="Arial"/>
          <w:color w:val="00B0F0"/>
          <w:cs/>
          <w:lang w:val="en-US"/>
        </w:rPr>
      </w:pPr>
    </w:p>
    <w:p w14:paraId="6B15CCB8" w14:textId="5BA83A3F" w:rsidR="00596B85" w:rsidRPr="007B1062" w:rsidRDefault="00596B85" w:rsidP="002C57CD">
      <w:pPr>
        <w:pStyle w:val="EVENTTITLE"/>
        <w:tabs>
          <w:tab w:val="right" w:pos="9360"/>
        </w:tabs>
        <w:snapToGrid w:val="0"/>
        <w:spacing w:before="240" w:line="360" w:lineRule="exact"/>
        <w:jc w:val="both"/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 xml:space="preserve">BARBADOS </w:t>
      </w:r>
      <w:r w:rsidR="002C57CD">
        <w:rPr>
          <w:b/>
          <w:bCs/>
          <w:sz w:val="40"/>
          <w:szCs w:val="40"/>
          <w:lang w:val="en-GB"/>
        </w:rPr>
        <w:tab/>
      </w:r>
    </w:p>
    <w:p w14:paraId="0BF04B62" w14:textId="6872A1A4" w:rsidR="00596B85" w:rsidRDefault="00596B85" w:rsidP="007B5CB0">
      <w:pPr>
        <w:pStyle w:val="EVENTTITLE"/>
        <w:snapToGrid w:val="0"/>
        <w:spacing w:line="360" w:lineRule="exact"/>
        <w:jc w:val="both"/>
        <w:rPr>
          <w:b/>
          <w:bCs/>
          <w:sz w:val="28"/>
          <w:szCs w:val="28"/>
          <w:lang w:val="en-GB"/>
        </w:rPr>
      </w:pPr>
      <w:r w:rsidRPr="007B1062">
        <w:rPr>
          <w:b/>
          <w:bCs/>
          <w:sz w:val="28"/>
          <w:szCs w:val="28"/>
          <w:lang w:val="en-GB"/>
        </w:rPr>
        <w:t xml:space="preserve">Investment facilitation </w:t>
      </w:r>
      <w:r>
        <w:rPr>
          <w:b/>
          <w:bCs/>
          <w:sz w:val="28"/>
          <w:szCs w:val="28"/>
          <w:lang w:val="en-GB"/>
        </w:rPr>
        <w:t>Needs assessment</w:t>
      </w:r>
      <w:r w:rsidRPr="007B1062">
        <w:rPr>
          <w:b/>
          <w:bCs/>
          <w:sz w:val="28"/>
          <w:szCs w:val="28"/>
          <w:lang w:val="en-GB"/>
        </w:rPr>
        <w:t xml:space="preserve"> </w:t>
      </w:r>
      <w:r w:rsidR="00341A75">
        <w:rPr>
          <w:b/>
          <w:bCs/>
          <w:sz w:val="28"/>
          <w:szCs w:val="28"/>
          <w:lang w:val="en-GB"/>
        </w:rPr>
        <w:t>workshop</w:t>
      </w:r>
    </w:p>
    <w:p w14:paraId="5FF5F03F" w14:textId="36BE8F6D" w:rsidR="00DF7086" w:rsidRDefault="00DF7086" w:rsidP="007B5CB0">
      <w:pPr>
        <w:pStyle w:val="EVENTTITLE"/>
        <w:snapToGrid w:val="0"/>
        <w:spacing w:line="360" w:lineRule="exact"/>
        <w:jc w:val="both"/>
        <w:rPr>
          <w:b/>
          <w:bCs/>
          <w:sz w:val="28"/>
          <w:szCs w:val="28"/>
          <w:lang w:val="en-GB"/>
        </w:rPr>
      </w:pPr>
    </w:p>
    <w:p w14:paraId="2FE32A62" w14:textId="05077E29" w:rsidR="00DF7086" w:rsidRDefault="00DF7086" w:rsidP="00DF7086">
      <w:pPr>
        <w:pStyle w:val="EVENTTITLE"/>
        <w:jc w:val="both"/>
        <w:rPr>
          <w:b/>
          <w:bCs/>
          <w:caps w:val="0"/>
          <w:smallCaps/>
          <w:color w:val="747474" w:themeColor="background2" w:themeShade="80"/>
          <w:sz w:val="24"/>
          <w:szCs w:val="24"/>
          <w:lang w:val="en-GB"/>
        </w:rPr>
      </w:pPr>
      <w:r>
        <w:rPr>
          <w:b/>
          <w:bCs/>
          <w:caps w:val="0"/>
          <w:smallCaps/>
          <w:color w:val="747474" w:themeColor="background2" w:themeShade="80"/>
          <w:sz w:val="24"/>
          <w:szCs w:val="24"/>
          <w:lang w:val="en-GB"/>
        </w:rPr>
        <w:t>date/Time: 1</w:t>
      </w:r>
      <w:r w:rsidR="00AB1711">
        <w:rPr>
          <w:b/>
          <w:bCs/>
          <w:caps w:val="0"/>
          <w:smallCaps/>
          <w:color w:val="747474" w:themeColor="background2" w:themeShade="80"/>
          <w:sz w:val="24"/>
          <w:szCs w:val="24"/>
          <w:lang w:val="en-GB"/>
        </w:rPr>
        <w:t>3</w:t>
      </w:r>
      <w:r>
        <w:rPr>
          <w:b/>
          <w:bCs/>
          <w:caps w:val="0"/>
          <w:smallCaps/>
          <w:color w:val="747474" w:themeColor="background2" w:themeShade="80"/>
          <w:sz w:val="24"/>
          <w:szCs w:val="24"/>
          <w:lang w:val="en-GB"/>
        </w:rPr>
        <w:t>-1</w:t>
      </w:r>
      <w:r w:rsidR="00AB1711">
        <w:rPr>
          <w:b/>
          <w:bCs/>
          <w:caps w:val="0"/>
          <w:smallCaps/>
          <w:color w:val="747474" w:themeColor="background2" w:themeShade="80"/>
          <w:sz w:val="24"/>
          <w:szCs w:val="24"/>
          <w:lang w:val="en-GB"/>
        </w:rPr>
        <w:t>4</w:t>
      </w:r>
      <w:r w:rsidRPr="003D0BF1">
        <w:rPr>
          <w:b/>
          <w:bCs/>
          <w:caps w:val="0"/>
          <w:smallCaps/>
          <w:color w:val="747474" w:themeColor="background2" w:themeShade="80"/>
          <w:sz w:val="24"/>
          <w:szCs w:val="24"/>
          <w:lang w:val="en-GB"/>
        </w:rPr>
        <w:t xml:space="preserve"> </w:t>
      </w:r>
      <w:r w:rsidR="008268FF">
        <w:rPr>
          <w:b/>
          <w:bCs/>
          <w:caps w:val="0"/>
          <w:smallCaps/>
          <w:color w:val="747474" w:themeColor="background2" w:themeShade="80"/>
          <w:sz w:val="24"/>
          <w:szCs w:val="24"/>
          <w:lang w:val="en-GB"/>
        </w:rPr>
        <w:t>February</w:t>
      </w:r>
      <w:r w:rsidR="008268FF" w:rsidRPr="003D0BF1">
        <w:rPr>
          <w:b/>
          <w:bCs/>
          <w:caps w:val="0"/>
          <w:smallCaps/>
          <w:color w:val="747474" w:themeColor="background2" w:themeShade="80"/>
          <w:sz w:val="24"/>
          <w:szCs w:val="24"/>
          <w:lang w:val="en-GB"/>
        </w:rPr>
        <w:t xml:space="preserve"> </w:t>
      </w:r>
      <w:r w:rsidRPr="003D0BF1">
        <w:rPr>
          <w:b/>
          <w:bCs/>
          <w:caps w:val="0"/>
          <w:smallCaps/>
          <w:color w:val="747474" w:themeColor="background2" w:themeShade="80"/>
          <w:sz w:val="24"/>
          <w:szCs w:val="24"/>
          <w:lang w:val="en-GB"/>
        </w:rPr>
        <w:t>202</w:t>
      </w:r>
      <w:r>
        <w:rPr>
          <w:b/>
          <w:bCs/>
          <w:caps w:val="0"/>
          <w:smallCaps/>
          <w:color w:val="747474" w:themeColor="background2" w:themeShade="80"/>
          <w:sz w:val="24"/>
          <w:szCs w:val="24"/>
          <w:lang w:val="en-GB"/>
        </w:rPr>
        <w:t>5 (09h00 – 16h30)</w:t>
      </w:r>
    </w:p>
    <w:p w14:paraId="0AF21A9D" w14:textId="6EDA48CA" w:rsidR="00DF7086" w:rsidRPr="00DF7086" w:rsidRDefault="00DF7086" w:rsidP="00DF7086">
      <w:pPr>
        <w:pStyle w:val="EVENTTITLE"/>
        <w:jc w:val="both"/>
        <w:rPr>
          <w:b/>
          <w:bCs/>
          <w:caps w:val="0"/>
          <w:smallCaps/>
          <w:color w:val="747474" w:themeColor="background2" w:themeShade="80"/>
          <w:sz w:val="24"/>
          <w:szCs w:val="24"/>
          <w:lang w:val="en-GB"/>
        </w:rPr>
      </w:pPr>
      <w:r>
        <w:rPr>
          <w:b/>
          <w:bCs/>
          <w:caps w:val="0"/>
          <w:smallCaps/>
          <w:color w:val="747474" w:themeColor="background2" w:themeShade="80"/>
          <w:sz w:val="24"/>
          <w:szCs w:val="24"/>
          <w:lang w:val="en-GB"/>
        </w:rPr>
        <w:t xml:space="preserve">Location: To be confirmed </w:t>
      </w:r>
    </w:p>
    <w:p w14:paraId="1C88A394" w14:textId="4952645B" w:rsidR="00596B85" w:rsidRDefault="00596B85" w:rsidP="00596B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</w:p>
    <w:p w14:paraId="1FFF0CA8" w14:textId="4C7CBF97" w:rsidR="000165F5" w:rsidRDefault="000165F5" w:rsidP="003511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Browallia New"/>
          <w:sz w:val="20"/>
          <w:szCs w:val="25"/>
          <w:lang w:bidi="th-TH"/>
        </w:rPr>
      </w:pPr>
    </w:p>
    <w:p w14:paraId="206B26C5" w14:textId="0AA2263E" w:rsidR="002C57CD" w:rsidRPr="002C57CD" w:rsidRDefault="002C57CD" w:rsidP="003511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Browallia New"/>
          <w:b/>
          <w:bCs/>
          <w:color w:val="00B0F0"/>
          <w:sz w:val="22"/>
          <w:szCs w:val="22"/>
        </w:rPr>
      </w:pPr>
      <w:r w:rsidRPr="002C57CD">
        <w:rPr>
          <w:rStyle w:val="normaltextrun"/>
          <w:rFonts w:ascii="Arial" w:eastAsiaTheme="majorEastAsia" w:hAnsi="Arial" w:cs="Browallia New"/>
          <w:b/>
          <w:bCs/>
          <w:color w:val="00B0F0"/>
          <w:sz w:val="22"/>
          <w:szCs w:val="22"/>
        </w:rPr>
        <w:t>CONTEXT</w:t>
      </w:r>
    </w:p>
    <w:p w14:paraId="733405B7" w14:textId="77777777" w:rsidR="002C57CD" w:rsidRDefault="002C57CD" w:rsidP="002C57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740D910B" w14:textId="25BAB104" w:rsidR="00416BE7" w:rsidRPr="00416BE7" w:rsidRDefault="00416BE7" w:rsidP="002C57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FF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Barbados’s</w:t>
      </w:r>
      <w:r w:rsidR="002C57CD" w:rsidRPr="69B922E9">
        <w:rPr>
          <w:rStyle w:val="normaltextrun"/>
          <w:rFonts w:ascii="Arial" w:eastAsiaTheme="majorEastAsia" w:hAnsi="Arial" w:cs="Arial"/>
          <w:sz w:val="20"/>
          <w:szCs w:val="20"/>
        </w:rPr>
        <w:t xml:space="preserve"> participation in the WTO </w:t>
      </w:r>
      <w:r w:rsidR="00DF55C0">
        <w:rPr>
          <w:rStyle w:val="normaltextrun"/>
          <w:rFonts w:ascii="Arial" w:eastAsiaTheme="majorEastAsia" w:hAnsi="Arial" w:cs="Arial"/>
          <w:sz w:val="20"/>
          <w:szCs w:val="20"/>
        </w:rPr>
        <w:t xml:space="preserve">Investment Facilitation for Development (IFD) </w:t>
      </w:r>
      <w:r w:rsidR="004B4A8B">
        <w:rPr>
          <w:rStyle w:val="normaltextrun"/>
          <w:rFonts w:ascii="Arial" w:eastAsiaTheme="majorEastAsia" w:hAnsi="Arial" w:cs="Arial"/>
          <w:sz w:val="20"/>
          <w:szCs w:val="20"/>
        </w:rPr>
        <w:t xml:space="preserve">Agreement </w:t>
      </w:r>
      <w:r w:rsidR="002C57CD" w:rsidRPr="69B922E9">
        <w:rPr>
          <w:rStyle w:val="normaltextrun"/>
          <w:rFonts w:ascii="Arial" w:eastAsiaTheme="majorEastAsia" w:hAnsi="Arial" w:cs="Arial"/>
          <w:sz w:val="20"/>
          <w:szCs w:val="20"/>
        </w:rPr>
        <w:t xml:space="preserve">signals the </w:t>
      </w:r>
      <w:r w:rsidR="00AE3427">
        <w:rPr>
          <w:rStyle w:val="normaltextrun"/>
          <w:rFonts w:ascii="Arial" w:eastAsiaTheme="majorEastAsia" w:hAnsi="Arial" w:cs="Arial"/>
          <w:sz w:val="20"/>
          <w:szCs w:val="20"/>
        </w:rPr>
        <w:t xml:space="preserve">effort and </w:t>
      </w:r>
      <w:r w:rsidR="004B4A8B">
        <w:rPr>
          <w:rStyle w:val="normaltextrun"/>
          <w:rFonts w:ascii="Arial" w:eastAsiaTheme="majorEastAsia" w:hAnsi="Arial" w:cs="Arial"/>
          <w:sz w:val="20"/>
          <w:szCs w:val="20"/>
        </w:rPr>
        <w:t xml:space="preserve">commitment </w:t>
      </w:r>
      <w:r w:rsidR="002C57CD" w:rsidRPr="69B922E9">
        <w:rPr>
          <w:rStyle w:val="normaltextrun"/>
          <w:rFonts w:ascii="Arial" w:eastAsiaTheme="majorEastAsia" w:hAnsi="Arial" w:cs="Arial"/>
          <w:sz w:val="20"/>
          <w:szCs w:val="20"/>
        </w:rPr>
        <w:t xml:space="preserve">of the country to </w:t>
      </w:r>
      <w:r w:rsidR="0051360F">
        <w:rPr>
          <w:rStyle w:val="normaltextrun"/>
          <w:rFonts w:ascii="Arial" w:eastAsiaTheme="majorEastAsia" w:hAnsi="Arial" w:cs="Arial"/>
          <w:sz w:val="20"/>
          <w:szCs w:val="20"/>
        </w:rPr>
        <w:t xml:space="preserve">continuously improve its investment climate </w:t>
      </w:r>
      <w:r w:rsidR="00115EBA" w:rsidRPr="69B922E9">
        <w:rPr>
          <w:rStyle w:val="normaltextrun"/>
          <w:rFonts w:ascii="Arial" w:eastAsiaTheme="majorEastAsia" w:hAnsi="Arial" w:cs="Arial"/>
          <w:sz w:val="20"/>
          <w:szCs w:val="20"/>
        </w:rPr>
        <w:t xml:space="preserve">to attract and retain </w:t>
      </w:r>
      <w:r w:rsidR="00115EBA">
        <w:rPr>
          <w:rStyle w:val="normaltextrun"/>
          <w:rFonts w:ascii="Arial" w:eastAsiaTheme="majorEastAsia" w:hAnsi="Arial" w:cs="Arial"/>
          <w:sz w:val="20"/>
          <w:szCs w:val="20"/>
        </w:rPr>
        <w:t xml:space="preserve">foreign </w:t>
      </w:r>
      <w:r w:rsidR="00115EBA" w:rsidRPr="69B922E9">
        <w:rPr>
          <w:rStyle w:val="normaltextrun"/>
          <w:rFonts w:ascii="Arial" w:eastAsiaTheme="majorEastAsia" w:hAnsi="Arial" w:cs="Arial"/>
          <w:sz w:val="20"/>
          <w:szCs w:val="20"/>
        </w:rPr>
        <w:t>investment</w:t>
      </w:r>
      <w:r w:rsidR="00CD5D60">
        <w:rPr>
          <w:rStyle w:val="normaltextrun"/>
          <w:rFonts w:ascii="Arial" w:eastAsiaTheme="majorEastAsia" w:hAnsi="Arial" w:cs="Arial"/>
          <w:sz w:val="20"/>
          <w:szCs w:val="20"/>
        </w:rPr>
        <w:t>.</w:t>
      </w:r>
      <w:r w:rsidR="00115EB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277F11">
        <w:rPr>
          <w:rStyle w:val="normaltextrun"/>
          <w:rFonts w:ascii="Arial" w:eastAsiaTheme="majorEastAsia" w:hAnsi="Arial" w:cs="Arial"/>
          <w:sz w:val="20"/>
          <w:szCs w:val="20"/>
        </w:rPr>
        <w:t xml:space="preserve">Implementation of the IFD Agreement is expected to </w:t>
      </w:r>
      <w:r w:rsidR="00CD5D60">
        <w:rPr>
          <w:rStyle w:val="normaltextrun"/>
          <w:rFonts w:ascii="Arial" w:eastAsiaTheme="majorEastAsia" w:hAnsi="Arial" w:cs="Arial"/>
          <w:sz w:val="20"/>
          <w:szCs w:val="20"/>
        </w:rPr>
        <w:t xml:space="preserve">further increase transparency in investment </w:t>
      </w:r>
      <w:r w:rsidR="0005297A">
        <w:rPr>
          <w:rStyle w:val="normaltextrun"/>
          <w:rFonts w:ascii="Arial" w:eastAsiaTheme="majorEastAsia" w:hAnsi="Arial" w:cs="Arial"/>
          <w:sz w:val="20"/>
          <w:szCs w:val="20"/>
        </w:rPr>
        <w:t xml:space="preserve">policies, </w:t>
      </w:r>
      <w:r w:rsidR="00CD5D60" w:rsidRPr="69B922E9">
        <w:rPr>
          <w:rStyle w:val="normaltextrun"/>
          <w:rFonts w:ascii="Arial" w:eastAsiaTheme="majorEastAsia" w:hAnsi="Arial" w:cs="Arial"/>
          <w:sz w:val="20"/>
          <w:szCs w:val="20"/>
        </w:rPr>
        <w:t xml:space="preserve">streamline investment </w:t>
      </w:r>
      <w:r w:rsidR="00CD5D60">
        <w:rPr>
          <w:rStyle w:val="normaltextrun"/>
          <w:rFonts w:ascii="Arial" w:eastAsiaTheme="majorEastAsia" w:hAnsi="Arial" w:cs="Arial"/>
          <w:sz w:val="20"/>
          <w:szCs w:val="20"/>
        </w:rPr>
        <w:t xml:space="preserve">related administrative </w:t>
      </w:r>
      <w:r w:rsidR="00CD5D60" w:rsidRPr="69B922E9">
        <w:rPr>
          <w:rStyle w:val="normaltextrun"/>
          <w:rFonts w:ascii="Arial" w:eastAsiaTheme="majorEastAsia" w:hAnsi="Arial" w:cs="Arial"/>
          <w:sz w:val="20"/>
          <w:szCs w:val="20"/>
        </w:rPr>
        <w:t>procedures</w:t>
      </w:r>
      <w:r w:rsidR="00CD5D60">
        <w:rPr>
          <w:rStyle w:val="normaltextrun"/>
          <w:rFonts w:ascii="Arial" w:eastAsiaTheme="majorEastAsia" w:hAnsi="Arial" w:cs="Arial"/>
          <w:sz w:val="20"/>
          <w:szCs w:val="20"/>
        </w:rPr>
        <w:t>, and make it easier to invest in the country</w:t>
      </w:r>
      <w:r w:rsidR="00CD5D60" w:rsidRPr="69B922E9">
        <w:rPr>
          <w:rStyle w:val="normaltextrun"/>
          <w:rFonts w:ascii="Arial" w:eastAsiaTheme="majorEastAsia" w:hAnsi="Arial" w:cs="Arial"/>
          <w:sz w:val="20"/>
          <w:szCs w:val="20"/>
        </w:rPr>
        <w:t xml:space="preserve">. </w:t>
      </w:r>
    </w:p>
    <w:p w14:paraId="0B7361D9" w14:textId="77777777" w:rsidR="002C57CD" w:rsidRDefault="002C57CD" w:rsidP="002C57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647D74A2" w14:textId="7FE5F99E" w:rsidR="002C57CD" w:rsidRDefault="002C57CD" w:rsidP="002C57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C637AA">
        <w:rPr>
          <w:rStyle w:val="normaltextrun"/>
          <w:rFonts w:ascii="Arial" w:eastAsiaTheme="majorEastAsia" w:hAnsi="Arial" w:cs="Arial"/>
          <w:sz w:val="20"/>
          <w:szCs w:val="20"/>
        </w:rPr>
        <w:t xml:space="preserve">In this regard, </w:t>
      </w:r>
      <w:r w:rsidR="00472366">
        <w:rPr>
          <w:rStyle w:val="normaltextrun"/>
          <w:rFonts w:ascii="Arial" w:eastAsiaTheme="majorEastAsia" w:hAnsi="Arial" w:cs="Arial"/>
          <w:sz w:val="20"/>
          <w:szCs w:val="20"/>
        </w:rPr>
        <w:t xml:space="preserve">the </w:t>
      </w:r>
      <w:r w:rsidR="00472366" w:rsidRPr="00472366">
        <w:rPr>
          <w:rStyle w:val="normaltextrun"/>
          <w:rFonts w:ascii="Arial" w:eastAsiaTheme="majorEastAsia" w:hAnsi="Arial" w:cs="Arial"/>
          <w:sz w:val="20"/>
          <w:szCs w:val="20"/>
        </w:rPr>
        <w:t>M</w:t>
      </w:r>
      <w:r w:rsidR="00472366">
        <w:rPr>
          <w:rStyle w:val="normaltextrun"/>
          <w:rFonts w:ascii="Arial" w:eastAsiaTheme="majorEastAsia" w:hAnsi="Arial" w:cs="Arial"/>
          <w:sz w:val="20"/>
          <w:szCs w:val="20"/>
        </w:rPr>
        <w:t xml:space="preserve">inistry of Foreign Affairs and Foreign Trade of </w:t>
      </w:r>
      <w:r w:rsidR="00416BE7">
        <w:rPr>
          <w:rStyle w:val="normaltextrun"/>
          <w:rFonts w:ascii="Arial" w:eastAsiaTheme="majorEastAsia" w:hAnsi="Arial" w:cs="Arial"/>
          <w:sz w:val="20"/>
          <w:szCs w:val="20"/>
        </w:rPr>
        <w:t>Barbados</w:t>
      </w:r>
      <w:r w:rsidRPr="00C637AA"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 w:rsidR="00E417B1">
        <w:rPr>
          <w:rStyle w:val="normaltextrun"/>
          <w:rFonts w:ascii="Arial" w:eastAsiaTheme="majorEastAsia" w:hAnsi="Arial" w:cs="Arial"/>
          <w:sz w:val="20"/>
          <w:szCs w:val="20"/>
        </w:rPr>
        <w:t>supported by</w:t>
      </w:r>
      <w:r w:rsidRPr="00C637A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E417B1">
        <w:rPr>
          <w:rStyle w:val="normaltextrun"/>
          <w:rFonts w:ascii="Arial" w:eastAsiaTheme="majorEastAsia" w:hAnsi="Arial" w:cs="Arial"/>
          <w:sz w:val="20"/>
          <w:szCs w:val="20"/>
        </w:rPr>
        <w:t>the</w:t>
      </w:r>
      <w:r w:rsidR="00E417B1" w:rsidRPr="00C637A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DF55C0" w:rsidRPr="69B922E9">
        <w:rPr>
          <w:rStyle w:val="normaltextrun"/>
          <w:rFonts w:ascii="Arial" w:eastAsiaTheme="majorEastAsia" w:hAnsi="Arial" w:cs="Arial"/>
          <w:sz w:val="20"/>
          <w:szCs w:val="20"/>
        </w:rPr>
        <w:t>International Trade Centre (ITC)</w:t>
      </w:r>
      <w:r w:rsidR="00DF55C0">
        <w:rPr>
          <w:rStyle w:val="normaltextrun"/>
          <w:rFonts w:ascii="Arial" w:eastAsiaTheme="majorEastAsia" w:hAnsi="Arial" w:cs="Arial"/>
          <w:sz w:val="20"/>
          <w:szCs w:val="20"/>
        </w:rPr>
        <w:t>, the Inter-American Development Bank (IDB) and the World Trade Organization (WTO)</w:t>
      </w:r>
      <w:r w:rsidR="00DF55C0" w:rsidRPr="69B922E9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DF55C0" w:rsidRPr="00C637AA">
        <w:rPr>
          <w:rStyle w:val="normaltextrun"/>
          <w:rFonts w:ascii="Arial" w:eastAsiaTheme="majorEastAsia" w:hAnsi="Arial" w:cs="Arial"/>
          <w:sz w:val="20"/>
          <w:szCs w:val="20"/>
        </w:rPr>
        <w:t>is</w:t>
      </w:r>
      <w:r w:rsidRPr="00C637A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E417B1">
        <w:rPr>
          <w:rStyle w:val="normaltextrun"/>
          <w:rFonts w:ascii="Arial" w:eastAsiaTheme="majorEastAsia" w:hAnsi="Arial" w:cs="Arial"/>
          <w:sz w:val="20"/>
          <w:szCs w:val="20"/>
        </w:rPr>
        <w:t>conducting</w:t>
      </w:r>
      <w:r w:rsidR="0017544D">
        <w:rPr>
          <w:rStyle w:val="normaltextrun"/>
          <w:rFonts w:ascii="Arial" w:eastAsiaTheme="majorEastAsia" w:hAnsi="Arial" w:cs="Arial"/>
          <w:sz w:val="20"/>
          <w:szCs w:val="20"/>
        </w:rPr>
        <w:t xml:space="preserve"> an</w:t>
      </w:r>
      <w:r w:rsidR="00E417B1">
        <w:rPr>
          <w:rStyle w:val="normaltextrun"/>
          <w:rFonts w:ascii="Arial" w:eastAsiaTheme="majorEastAsia" w:hAnsi="Arial" w:cs="Arial"/>
          <w:sz w:val="20"/>
          <w:szCs w:val="20"/>
        </w:rPr>
        <w:t xml:space="preserve"> investment facilitation</w:t>
      </w:r>
      <w:r w:rsidRPr="00C637AA">
        <w:rPr>
          <w:rStyle w:val="normaltextrun"/>
          <w:rFonts w:ascii="Arial" w:eastAsiaTheme="majorEastAsia" w:hAnsi="Arial" w:cs="Arial"/>
          <w:sz w:val="20"/>
          <w:szCs w:val="20"/>
        </w:rPr>
        <w:t xml:space="preserve"> needs assessment </w:t>
      </w:r>
      <w:r w:rsidR="0017544D">
        <w:rPr>
          <w:rStyle w:val="normaltextrun"/>
          <w:rFonts w:ascii="Arial" w:eastAsiaTheme="majorEastAsia" w:hAnsi="Arial" w:cs="Arial"/>
          <w:sz w:val="20"/>
          <w:szCs w:val="20"/>
        </w:rPr>
        <w:t xml:space="preserve">to assess the country’s </w:t>
      </w:r>
      <w:r w:rsidR="00DE2617">
        <w:rPr>
          <w:rStyle w:val="normaltextrun"/>
          <w:rFonts w:ascii="Arial" w:eastAsiaTheme="majorEastAsia" w:hAnsi="Arial" w:cs="Arial"/>
          <w:sz w:val="20"/>
          <w:szCs w:val="20"/>
        </w:rPr>
        <w:t xml:space="preserve">investment facilitation frameworks </w:t>
      </w:r>
      <w:r w:rsidR="00F278B8">
        <w:rPr>
          <w:rStyle w:val="normaltextrun"/>
          <w:rFonts w:ascii="Arial" w:eastAsiaTheme="majorEastAsia" w:hAnsi="Arial" w:cs="Arial"/>
          <w:sz w:val="20"/>
          <w:szCs w:val="20"/>
        </w:rPr>
        <w:t>against</w:t>
      </w:r>
      <w:r w:rsidR="00DE2617">
        <w:rPr>
          <w:rStyle w:val="normaltextrun"/>
          <w:rFonts w:ascii="Arial" w:eastAsiaTheme="majorEastAsia" w:hAnsi="Arial" w:cs="Arial"/>
          <w:sz w:val="20"/>
          <w:szCs w:val="20"/>
        </w:rPr>
        <w:t xml:space="preserve"> the requirement</w:t>
      </w:r>
      <w:r w:rsidR="00E92DF0">
        <w:rPr>
          <w:rStyle w:val="normaltextrun"/>
          <w:rFonts w:ascii="Arial" w:eastAsiaTheme="majorEastAsia" w:hAnsi="Arial" w:cs="Arial"/>
          <w:sz w:val="20"/>
          <w:szCs w:val="20"/>
        </w:rPr>
        <w:t>s</w:t>
      </w:r>
      <w:r w:rsidR="00DE2617">
        <w:rPr>
          <w:rStyle w:val="normaltextrun"/>
          <w:rFonts w:ascii="Arial" w:eastAsiaTheme="majorEastAsia" w:hAnsi="Arial" w:cs="Arial"/>
          <w:sz w:val="20"/>
          <w:szCs w:val="20"/>
        </w:rPr>
        <w:t xml:space="preserve"> of the IFD Agreement</w:t>
      </w:r>
      <w:r w:rsidR="00730A4E"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 w:rsidR="00DE2617">
        <w:rPr>
          <w:rStyle w:val="normaltextrun"/>
          <w:rFonts w:ascii="Arial" w:eastAsiaTheme="majorEastAsia" w:hAnsi="Arial" w:cs="Arial"/>
          <w:sz w:val="20"/>
          <w:szCs w:val="20"/>
        </w:rPr>
        <w:t xml:space="preserve">identify </w:t>
      </w:r>
      <w:r w:rsidR="00730A4E">
        <w:rPr>
          <w:rStyle w:val="normaltextrun"/>
          <w:rFonts w:ascii="Arial" w:eastAsiaTheme="majorEastAsia" w:hAnsi="Arial" w:cs="Arial"/>
          <w:sz w:val="20"/>
          <w:szCs w:val="20"/>
        </w:rPr>
        <w:t xml:space="preserve">potential </w:t>
      </w:r>
      <w:r w:rsidR="00DE2617">
        <w:rPr>
          <w:rStyle w:val="normaltextrun"/>
          <w:rFonts w:ascii="Arial" w:eastAsiaTheme="majorEastAsia" w:hAnsi="Arial" w:cs="Arial"/>
          <w:sz w:val="20"/>
          <w:szCs w:val="20"/>
        </w:rPr>
        <w:t xml:space="preserve">gaps </w:t>
      </w:r>
      <w:r w:rsidR="00730A4E">
        <w:rPr>
          <w:rStyle w:val="normaltextrun"/>
          <w:rFonts w:ascii="Arial" w:eastAsiaTheme="majorEastAsia" w:hAnsi="Arial" w:cs="Arial"/>
          <w:sz w:val="20"/>
          <w:szCs w:val="20"/>
        </w:rPr>
        <w:t>and develop action plans</w:t>
      </w:r>
      <w:r w:rsidR="00DA7CAC">
        <w:rPr>
          <w:rStyle w:val="normaltextrun"/>
          <w:rFonts w:ascii="Arial" w:eastAsiaTheme="majorEastAsia" w:hAnsi="Arial" w:cs="Arial"/>
          <w:sz w:val="20"/>
          <w:szCs w:val="20"/>
        </w:rPr>
        <w:t xml:space="preserve">, as well as </w:t>
      </w:r>
      <w:r w:rsidR="00926502">
        <w:rPr>
          <w:rStyle w:val="normaltextrun"/>
          <w:rFonts w:ascii="Arial" w:eastAsiaTheme="majorEastAsia" w:hAnsi="Arial" w:cs="Arial"/>
          <w:sz w:val="20"/>
          <w:szCs w:val="20"/>
        </w:rPr>
        <w:t xml:space="preserve">develop targeted technical assistance and capacity building initiatives that can </w:t>
      </w:r>
      <w:r w:rsidR="006950A1">
        <w:rPr>
          <w:rStyle w:val="normaltextrun"/>
          <w:rFonts w:ascii="Arial" w:eastAsiaTheme="majorEastAsia" w:hAnsi="Arial" w:cs="Arial"/>
          <w:sz w:val="20"/>
          <w:szCs w:val="20"/>
        </w:rPr>
        <w:t xml:space="preserve">support Barbados in </w:t>
      </w:r>
      <w:r w:rsidR="00DA7CAC">
        <w:rPr>
          <w:rStyle w:val="normaltextrun"/>
          <w:rFonts w:ascii="Arial" w:eastAsiaTheme="majorEastAsia" w:hAnsi="Arial" w:cs="Arial"/>
          <w:sz w:val="20"/>
          <w:szCs w:val="20"/>
        </w:rPr>
        <w:t>further enhancing investment facilitation efforts.</w:t>
      </w:r>
    </w:p>
    <w:p w14:paraId="3BF04A89" w14:textId="77777777" w:rsidR="002C57CD" w:rsidRDefault="002C57CD" w:rsidP="002C57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22AC4AE0" w14:textId="313E740C" w:rsidR="002C57CD" w:rsidRDefault="002C57CD" w:rsidP="002C57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E92DF0">
        <w:rPr>
          <w:rStyle w:val="normaltextrun"/>
          <w:rFonts w:ascii="Arial" w:eastAsiaTheme="majorEastAsia" w:hAnsi="Arial" w:cs="Arial"/>
          <w:sz w:val="20"/>
          <w:szCs w:val="20"/>
        </w:rPr>
        <w:t xml:space="preserve">This two-day </w:t>
      </w:r>
      <w:r w:rsidR="00EB6827" w:rsidRPr="00E92DF0">
        <w:rPr>
          <w:rStyle w:val="normaltextrun"/>
          <w:rFonts w:ascii="Arial" w:eastAsiaTheme="majorEastAsia" w:hAnsi="Arial" w:cs="Arial"/>
          <w:sz w:val="20"/>
          <w:szCs w:val="20"/>
        </w:rPr>
        <w:t xml:space="preserve">workshop </w:t>
      </w:r>
      <w:r w:rsidR="00DA7CAC">
        <w:rPr>
          <w:rStyle w:val="normaltextrun"/>
          <w:rFonts w:ascii="Arial" w:eastAsiaTheme="majorEastAsia" w:hAnsi="Arial" w:cs="Arial"/>
          <w:sz w:val="20"/>
          <w:szCs w:val="20"/>
        </w:rPr>
        <w:t>aims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to bring together all stakeholders </w:t>
      </w:r>
      <w:r w:rsidR="00DA7CAC">
        <w:rPr>
          <w:rStyle w:val="normaltextrun"/>
          <w:rFonts w:ascii="Arial" w:eastAsiaTheme="majorEastAsia" w:hAnsi="Arial" w:cs="Arial"/>
          <w:sz w:val="20"/>
          <w:szCs w:val="20"/>
        </w:rPr>
        <w:t xml:space="preserve">related to investment facilitation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to </w:t>
      </w:r>
      <w:r w:rsidR="00141B41">
        <w:rPr>
          <w:rStyle w:val="normaltextrun"/>
          <w:rFonts w:ascii="Arial" w:eastAsiaTheme="majorEastAsia" w:hAnsi="Arial" w:cs="Arial"/>
          <w:sz w:val="20"/>
          <w:szCs w:val="20"/>
        </w:rPr>
        <w:t xml:space="preserve">go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through </w:t>
      </w:r>
      <w:r w:rsidR="00DF55C0">
        <w:rPr>
          <w:rStyle w:val="normaltextrun"/>
          <w:rFonts w:ascii="Arial" w:eastAsiaTheme="majorEastAsia" w:hAnsi="Arial" w:cs="Arial"/>
          <w:sz w:val="20"/>
          <w:szCs w:val="20"/>
        </w:rPr>
        <w:t xml:space="preserve">the </w:t>
      </w:r>
      <w:r w:rsidR="006F6C7F">
        <w:rPr>
          <w:rStyle w:val="normaltextrun"/>
          <w:rFonts w:ascii="Arial" w:eastAsiaTheme="majorEastAsia" w:hAnsi="Arial" w:cs="Arial"/>
          <w:sz w:val="20"/>
          <w:szCs w:val="20"/>
        </w:rPr>
        <w:t xml:space="preserve">IFD Agreement, </w:t>
      </w:r>
      <w:r w:rsidR="00B20804">
        <w:rPr>
          <w:rStyle w:val="normaltextrun"/>
          <w:rFonts w:ascii="Arial" w:eastAsiaTheme="majorEastAsia" w:hAnsi="Arial" w:cs="Arial"/>
          <w:sz w:val="20"/>
          <w:szCs w:val="20"/>
        </w:rPr>
        <w:t xml:space="preserve">building knowledge </w:t>
      </w:r>
      <w:r w:rsidR="003E744B">
        <w:rPr>
          <w:rStyle w:val="normaltextrun"/>
          <w:rFonts w:ascii="Arial" w:eastAsiaTheme="majorEastAsia" w:hAnsi="Arial" w:cs="Arial"/>
          <w:sz w:val="20"/>
          <w:szCs w:val="20"/>
        </w:rPr>
        <w:t xml:space="preserve">on its provisions, </w:t>
      </w:r>
      <w:r w:rsidR="006F6C7F">
        <w:rPr>
          <w:rStyle w:val="normaltextrun"/>
          <w:rFonts w:ascii="Arial" w:eastAsiaTheme="majorEastAsia" w:hAnsi="Arial" w:cs="Arial"/>
          <w:sz w:val="20"/>
          <w:szCs w:val="20"/>
        </w:rPr>
        <w:t xml:space="preserve">and use the </w:t>
      </w:r>
      <w:r w:rsidR="00DF55C0">
        <w:rPr>
          <w:rStyle w:val="normaltextrun"/>
          <w:rFonts w:ascii="Arial" w:eastAsiaTheme="majorEastAsia" w:hAnsi="Arial" w:cs="Arial"/>
          <w:sz w:val="20"/>
          <w:szCs w:val="20"/>
        </w:rPr>
        <w:t>Self-Assessment Guide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to </w:t>
      </w:r>
      <w:r w:rsidR="001706E2">
        <w:rPr>
          <w:rStyle w:val="normaltextrun"/>
          <w:rFonts w:ascii="Arial" w:eastAsiaTheme="majorEastAsia" w:hAnsi="Arial" w:cs="Arial"/>
          <w:sz w:val="20"/>
          <w:szCs w:val="20"/>
        </w:rPr>
        <w:t xml:space="preserve">consult with the stakeholders to </w:t>
      </w:r>
      <w:r w:rsidR="0021072F">
        <w:rPr>
          <w:rStyle w:val="normaltextrun"/>
          <w:rFonts w:ascii="Arial" w:eastAsiaTheme="majorEastAsia" w:hAnsi="Arial" w:cs="Arial"/>
          <w:sz w:val="20"/>
          <w:szCs w:val="20"/>
        </w:rPr>
        <w:t>collect information on the regulatory</w:t>
      </w:r>
      <w:r w:rsidR="00830890">
        <w:rPr>
          <w:rStyle w:val="normaltextrun"/>
          <w:rFonts w:ascii="Arial" w:eastAsiaTheme="majorEastAsia" w:hAnsi="Arial" w:cs="Arial"/>
          <w:sz w:val="20"/>
          <w:szCs w:val="20"/>
        </w:rPr>
        <w:t xml:space="preserve"> and institutional</w:t>
      </w:r>
      <w:r w:rsidR="0021072F">
        <w:rPr>
          <w:rStyle w:val="normaltextrun"/>
          <w:rFonts w:ascii="Arial" w:eastAsiaTheme="majorEastAsia" w:hAnsi="Arial" w:cs="Arial"/>
          <w:sz w:val="20"/>
          <w:szCs w:val="20"/>
        </w:rPr>
        <w:t xml:space="preserve"> frameworks as well as practices related to </w:t>
      </w:r>
      <w:r w:rsidR="007A767C">
        <w:rPr>
          <w:rStyle w:val="normaltextrun"/>
          <w:rFonts w:ascii="Arial" w:eastAsiaTheme="majorEastAsia" w:hAnsi="Arial" w:cs="Arial"/>
          <w:sz w:val="20"/>
          <w:szCs w:val="20"/>
        </w:rPr>
        <w:t xml:space="preserve">the IFD Agreement. </w:t>
      </w:r>
      <w:r w:rsidR="003E744B">
        <w:rPr>
          <w:rStyle w:val="normaltextrun"/>
          <w:rFonts w:ascii="Arial" w:eastAsiaTheme="majorEastAsia" w:hAnsi="Arial" w:cs="Arial"/>
          <w:sz w:val="20"/>
          <w:szCs w:val="20"/>
        </w:rPr>
        <w:t xml:space="preserve">This </w:t>
      </w:r>
      <w:r w:rsidR="007A767C">
        <w:rPr>
          <w:rStyle w:val="normaltextrun"/>
          <w:rFonts w:ascii="Arial" w:eastAsiaTheme="majorEastAsia" w:hAnsi="Arial" w:cs="Arial"/>
          <w:sz w:val="20"/>
          <w:szCs w:val="20"/>
        </w:rPr>
        <w:t>will</w:t>
      </w:r>
      <w:r w:rsidR="001706E2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3E744B">
        <w:rPr>
          <w:rStyle w:val="normaltextrun"/>
          <w:rFonts w:ascii="Arial" w:eastAsiaTheme="majorEastAsia" w:hAnsi="Arial" w:cs="Arial"/>
          <w:sz w:val="20"/>
          <w:szCs w:val="20"/>
        </w:rPr>
        <w:t xml:space="preserve">provide inputs for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analysi</w:t>
      </w:r>
      <w:r w:rsidR="003E744B">
        <w:rPr>
          <w:rStyle w:val="normaltextrun"/>
          <w:rFonts w:ascii="Arial" w:eastAsiaTheme="majorEastAsia" w:hAnsi="Arial" w:cs="Arial"/>
          <w:sz w:val="20"/>
          <w:szCs w:val="20"/>
        </w:rPr>
        <w:t xml:space="preserve">ng Barbados’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current investment facilitation </w:t>
      </w:r>
      <w:r w:rsidR="00E92DF0">
        <w:rPr>
          <w:rStyle w:val="normaltextrun"/>
          <w:rFonts w:ascii="Arial" w:eastAsiaTheme="majorEastAsia" w:hAnsi="Arial" w:cs="Arial"/>
          <w:sz w:val="20"/>
          <w:szCs w:val="20"/>
        </w:rPr>
        <w:t>framework and</w:t>
      </w:r>
      <w:r w:rsidR="003E744B">
        <w:rPr>
          <w:rStyle w:val="normaltextrun"/>
          <w:rFonts w:ascii="Arial" w:eastAsiaTheme="majorEastAsia" w:hAnsi="Arial" w:cs="Arial"/>
          <w:sz w:val="20"/>
          <w:szCs w:val="20"/>
        </w:rPr>
        <w:t xml:space="preserve"> develop</w:t>
      </w:r>
      <w:r w:rsidR="00A70544">
        <w:rPr>
          <w:rStyle w:val="normaltextrun"/>
          <w:rFonts w:ascii="Arial" w:eastAsiaTheme="majorEastAsia" w:hAnsi="Arial" w:cs="Arial"/>
          <w:sz w:val="20"/>
          <w:szCs w:val="20"/>
        </w:rPr>
        <w:t xml:space="preserve">ing action plans for addressing potential gaps and challenges. </w:t>
      </w:r>
    </w:p>
    <w:p w14:paraId="46C138FC" w14:textId="77777777" w:rsidR="002C57CD" w:rsidRDefault="002C57CD" w:rsidP="002C57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kern w:val="2"/>
          <w:sz w:val="20"/>
          <w:szCs w:val="20"/>
          <w:lang w:eastAsia="en-US"/>
        </w:rPr>
      </w:pPr>
    </w:p>
    <w:p w14:paraId="092DB9C8" w14:textId="77777777" w:rsidR="002C57CD" w:rsidRPr="00416BE7" w:rsidRDefault="002C57CD" w:rsidP="002C57CD">
      <w:pPr>
        <w:spacing w:after="0" w:line="240" w:lineRule="auto"/>
        <w:jc w:val="both"/>
        <w:textAlignment w:val="baseline"/>
        <w:rPr>
          <w:rStyle w:val="normaltextrun"/>
          <w:b/>
          <w:bCs/>
          <w:color w:val="00AEEF"/>
          <w:sz w:val="22"/>
          <w:szCs w:val="28"/>
        </w:rPr>
      </w:pPr>
      <w:r w:rsidRPr="00416BE7">
        <w:rPr>
          <w:rStyle w:val="normaltextrun"/>
          <w:rFonts w:ascii="Arial" w:hAnsi="Arial" w:cs="Arial"/>
          <w:b/>
          <w:bCs/>
          <w:color w:val="00AEEF"/>
          <w:sz w:val="22"/>
          <w:szCs w:val="28"/>
        </w:rPr>
        <w:t>OBJECTIVES</w:t>
      </w:r>
    </w:p>
    <w:p w14:paraId="3A3CD66B" w14:textId="77777777" w:rsidR="002C57CD" w:rsidRDefault="002C57CD" w:rsidP="002C57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B0F0"/>
          <w:kern w:val="0"/>
          <w:lang w:eastAsia="en-GB"/>
          <w14:ligatures w14:val="none"/>
        </w:rPr>
      </w:pPr>
    </w:p>
    <w:p w14:paraId="0AE04435" w14:textId="68EB87EC" w:rsidR="002C57CD" w:rsidRPr="00416BE7" w:rsidRDefault="005F4717" w:rsidP="004E15A6">
      <w:pPr>
        <w:pStyle w:val="ListParagraph"/>
        <w:numPr>
          <w:ilvl w:val="0"/>
          <w:numId w:val="16"/>
        </w:numPr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Enhanced </w:t>
      </w:r>
      <w:r w:rsidR="002C57CD" w:rsidRPr="00416BE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>understand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>ing of</w:t>
      </w:r>
      <w:r w:rsidR="002C57CD" w:rsidRPr="00416BE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 the WTO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>IFD</w:t>
      </w:r>
      <w:r w:rsidR="002C57CD" w:rsidRPr="00416BE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 Agreement</w:t>
      </w:r>
      <w:r w:rsidR="00E94F7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, as well as good practices in investment facilitation </w:t>
      </w:r>
    </w:p>
    <w:p w14:paraId="58A56444" w14:textId="1BC1B1A1" w:rsidR="002C57CD" w:rsidRPr="00416BE7" w:rsidRDefault="002C57CD" w:rsidP="004E15A6">
      <w:pPr>
        <w:pStyle w:val="ListParagraph"/>
        <w:numPr>
          <w:ilvl w:val="0"/>
          <w:numId w:val="16"/>
        </w:numPr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</w:pPr>
      <w:r w:rsidRPr="00416BE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>Co</w:t>
      </w:r>
      <w:r w:rsidR="008B1E0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>nsult with the stakeholders on the</w:t>
      </w:r>
      <w:r w:rsidRPr="00416BE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 regulatory and institutional framework</w:t>
      </w:r>
      <w:r w:rsidR="004453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 as well as practices </w:t>
      </w:r>
      <w:r w:rsidRPr="00416BE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in relation to the </w:t>
      </w:r>
      <w:r w:rsidR="004453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>IFD Agreement</w:t>
      </w:r>
      <w:r w:rsidRPr="00416BE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 – to </w:t>
      </w:r>
      <w:r w:rsidR="00CE76A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secure information required to advance Barbados IFD self-assessment </w:t>
      </w:r>
      <w:r w:rsidRPr="00416BE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and </w:t>
      </w:r>
      <w:r w:rsidR="0038485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>develop implementation roadmaps</w:t>
      </w:r>
      <w:r w:rsidRPr="00416BE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. </w:t>
      </w:r>
      <w:r w:rsidR="00CE76A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 </w:t>
      </w:r>
    </w:p>
    <w:p w14:paraId="3DD91FA2" w14:textId="78D96507" w:rsidR="008B1E00" w:rsidRPr="00416BE7" w:rsidRDefault="008B1E00" w:rsidP="008B1E00">
      <w:pPr>
        <w:pStyle w:val="ListParagraph"/>
        <w:numPr>
          <w:ilvl w:val="0"/>
          <w:numId w:val="16"/>
        </w:numPr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</w:pPr>
      <w:r w:rsidRPr="00416BE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>Discuss</w:t>
      </w:r>
      <w:r w:rsidR="000A0F5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 </w:t>
      </w:r>
      <w:r w:rsidR="000A0F51" w:rsidRPr="0091457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and develop a preliminary categorization of the IFD provisions, which will serve as a basis for preparing </w:t>
      </w:r>
      <w:r w:rsidR="003E372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a </w:t>
      </w:r>
      <w:r w:rsidR="000A0F51" w:rsidRPr="0091457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notification and </w:t>
      </w:r>
      <w:r w:rsidR="000A0F5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>developing</w:t>
      </w:r>
      <w:r w:rsidR="0091457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 an</w:t>
      </w:r>
      <w:r w:rsidR="000A0F5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 implementation roadmap.</w:t>
      </w:r>
      <w:r w:rsidR="000A0F51" w:rsidDel="00B71DC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 </w:t>
      </w:r>
    </w:p>
    <w:p w14:paraId="5C047BB0" w14:textId="77777777" w:rsidR="002C57CD" w:rsidRDefault="002C57CD" w:rsidP="002C57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B0F0"/>
          <w:kern w:val="0"/>
          <w:lang w:eastAsia="en-GB"/>
          <w14:ligatures w14:val="none"/>
        </w:rPr>
      </w:pPr>
    </w:p>
    <w:p w14:paraId="3309F9DC" w14:textId="2BE8AA3E" w:rsidR="002C57CD" w:rsidRDefault="002C57CD" w:rsidP="002C57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B0F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B0F0"/>
          <w:kern w:val="0"/>
          <w:lang w:eastAsia="en-GB"/>
          <w14:ligatures w14:val="none"/>
        </w:rPr>
        <w:t xml:space="preserve">AGENDA: </w:t>
      </w:r>
      <w:r w:rsidR="00416BE7">
        <w:rPr>
          <w:rFonts w:ascii="Arial" w:eastAsia="Times New Roman" w:hAnsi="Arial" w:cs="Arial"/>
          <w:b/>
          <w:bCs/>
          <w:color w:val="00B0F0"/>
          <w:kern w:val="0"/>
          <w:lang w:eastAsia="en-GB"/>
          <w14:ligatures w14:val="none"/>
        </w:rPr>
        <w:t>1</w:t>
      </w:r>
      <w:r w:rsidR="00AB1711">
        <w:rPr>
          <w:rFonts w:ascii="Arial" w:eastAsia="Times New Roman" w:hAnsi="Arial" w:cs="Arial"/>
          <w:b/>
          <w:bCs/>
          <w:color w:val="00B0F0"/>
          <w:kern w:val="0"/>
          <w:lang w:eastAsia="en-GB"/>
          <w14:ligatures w14:val="none"/>
        </w:rPr>
        <w:t>3</w:t>
      </w:r>
      <w:r>
        <w:rPr>
          <w:rFonts w:ascii="Arial" w:eastAsia="Times New Roman" w:hAnsi="Arial" w:cs="Arial"/>
          <w:b/>
          <w:bCs/>
          <w:color w:val="00B0F0"/>
          <w:kern w:val="0"/>
          <w:lang w:eastAsia="en-GB"/>
          <w14:ligatures w14:val="none"/>
        </w:rPr>
        <w:t>-</w:t>
      </w:r>
      <w:r w:rsidR="00085BC7">
        <w:rPr>
          <w:rFonts w:ascii="Arial" w:eastAsia="Times New Roman" w:hAnsi="Arial" w:cs="Arial"/>
          <w:b/>
          <w:bCs/>
          <w:color w:val="00B0F0"/>
          <w:kern w:val="0"/>
          <w:lang w:eastAsia="en-GB"/>
          <w14:ligatures w14:val="none"/>
        </w:rPr>
        <w:t>1</w:t>
      </w:r>
      <w:r w:rsidR="00AB1711">
        <w:rPr>
          <w:rFonts w:ascii="Arial" w:eastAsia="Times New Roman" w:hAnsi="Arial" w:cs="Arial"/>
          <w:b/>
          <w:bCs/>
          <w:color w:val="00B0F0"/>
          <w:kern w:val="0"/>
          <w:lang w:eastAsia="en-GB"/>
          <w14:ligatures w14:val="none"/>
        </w:rPr>
        <w:t>4</w:t>
      </w:r>
      <w:r w:rsidR="00085BC7">
        <w:rPr>
          <w:rFonts w:ascii="Arial" w:eastAsia="Times New Roman" w:hAnsi="Arial" w:cs="Arial"/>
          <w:b/>
          <w:bCs/>
          <w:color w:val="00B0F0"/>
          <w:kern w:val="0"/>
          <w:lang w:eastAsia="en-GB"/>
          <w14:ligatures w14:val="none"/>
        </w:rPr>
        <w:t xml:space="preserve"> </w:t>
      </w:r>
      <w:r w:rsidR="0075066F">
        <w:rPr>
          <w:rFonts w:ascii="Arial" w:eastAsia="Times New Roman" w:hAnsi="Arial" w:cs="Arial"/>
          <w:b/>
          <w:bCs/>
          <w:color w:val="00B0F0"/>
          <w:kern w:val="0"/>
          <w:lang w:eastAsia="en-GB"/>
          <w14:ligatures w14:val="none"/>
        </w:rPr>
        <w:t>February</w:t>
      </w:r>
      <w:r w:rsidR="00085BC7">
        <w:rPr>
          <w:rFonts w:ascii="Arial" w:eastAsia="Times New Roman" w:hAnsi="Arial" w:cs="Arial"/>
          <w:b/>
          <w:bCs/>
          <w:color w:val="00B0F0"/>
          <w:kern w:val="0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B0F0"/>
          <w:kern w:val="0"/>
          <w:lang w:eastAsia="en-GB"/>
          <w14:ligatures w14:val="none"/>
        </w:rPr>
        <w:t>202</w:t>
      </w:r>
      <w:r w:rsidR="00447607">
        <w:rPr>
          <w:rFonts w:ascii="Arial" w:eastAsia="Times New Roman" w:hAnsi="Arial" w:cs="Arial"/>
          <w:b/>
          <w:bCs/>
          <w:color w:val="00B0F0"/>
          <w:kern w:val="0"/>
          <w:lang w:eastAsia="en-GB"/>
          <w14:ligatures w14:val="none"/>
        </w:rPr>
        <w:t>5</w:t>
      </w:r>
      <w:r w:rsidRPr="00647CC4">
        <w:rPr>
          <w:rFonts w:ascii="Arial" w:eastAsia="Times New Roman" w:hAnsi="Arial" w:cs="Arial"/>
          <w:color w:val="00B0F0"/>
          <w:kern w:val="0"/>
          <w:lang w:eastAsia="en-GB"/>
          <w14:ligatures w14:val="none"/>
        </w:rPr>
        <w:t> </w:t>
      </w:r>
    </w:p>
    <w:p w14:paraId="74941F8E" w14:textId="77777777" w:rsidR="002C57CD" w:rsidRPr="00647CC4" w:rsidRDefault="002C57CD" w:rsidP="002C57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207"/>
      </w:tblGrid>
      <w:tr w:rsidR="002C57CD" w:rsidRPr="00A30722" w14:paraId="3172340C" w14:textId="77777777" w:rsidTr="005D13D0">
        <w:trPr>
          <w:trHeight w:val="300"/>
        </w:trPr>
        <w:tc>
          <w:tcPr>
            <w:tcW w:w="9016" w:type="dxa"/>
            <w:gridSpan w:val="2"/>
            <w:shd w:val="clear" w:color="auto" w:fill="0F4761" w:themeFill="accent1" w:themeFillShade="BF"/>
          </w:tcPr>
          <w:p w14:paraId="0E67714C" w14:textId="4BFBDC85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  <w:t xml:space="preserve">Day 1: </w:t>
            </w:r>
            <w:r w:rsidR="00416BE7" w:rsidRPr="00A30722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  <w:t>Tuesday</w:t>
            </w:r>
            <w:r w:rsidRPr="00A30722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447607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="00AB1711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="00447607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  <w:t xml:space="preserve"> February</w:t>
            </w:r>
            <w:r w:rsidRPr="00A30722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  <w:t xml:space="preserve"> 202</w:t>
            </w:r>
            <w:r w:rsidR="00447607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</w:tr>
      <w:tr w:rsidR="002C57CD" w:rsidRPr="00A30722" w14:paraId="7E39DB37" w14:textId="77777777" w:rsidTr="005D13D0">
        <w:trPr>
          <w:trHeight w:val="300"/>
        </w:trPr>
        <w:tc>
          <w:tcPr>
            <w:tcW w:w="1809" w:type="dxa"/>
            <w:shd w:val="clear" w:color="auto" w:fill="C1E4F5" w:themeFill="accent1" w:themeFillTint="33"/>
          </w:tcPr>
          <w:p w14:paraId="0543761F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D0D0D" w:themeColor="text1" w:themeTint="F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Times New Roman" w:hAnsi="Arial" w:cs="Arial"/>
                <w:b/>
                <w:bCs/>
                <w:color w:val="0D0D0D" w:themeColor="text1" w:themeTint="F2"/>
                <w:kern w:val="0"/>
                <w:sz w:val="20"/>
                <w:szCs w:val="20"/>
                <w:lang w:eastAsia="en-GB"/>
                <w14:ligatures w14:val="none"/>
              </w:rPr>
              <w:t>TIME</w:t>
            </w:r>
          </w:p>
        </w:tc>
        <w:tc>
          <w:tcPr>
            <w:tcW w:w="7207" w:type="dxa"/>
            <w:shd w:val="clear" w:color="auto" w:fill="C1E4F5" w:themeFill="accent1" w:themeFillTint="33"/>
          </w:tcPr>
          <w:p w14:paraId="08173ADD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D0D0D" w:themeColor="text1" w:themeTint="F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Times New Roman" w:hAnsi="Arial" w:cs="Arial"/>
                <w:b/>
                <w:bCs/>
                <w:color w:val="0D0D0D" w:themeColor="text1" w:themeTint="F2"/>
                <w:kern w:val="0"/>
                <w:sz w:val="20"/>
                <w:szCs w:val="20"/>
                <w:lang w:eastAsia="en-GB"/>
                <w14:ligatures w14:val="none"/>
              </w:rPr>
              <w:t>DETAILS</w:t>
            </w:r>
          </w:p>
        </w:tc>
      </w:tr>
      <w:tr w:rsidR="002C57CD" w:rsidRPr="00A30722" w14:paraId="50373946" w14:textId="77777777" w:rsidTr="005D13D0">
        <w:trPr>
          <w:trHeight w:val="300"/>
        </w:trPr>
        <w:tc>
          <w:tcPr>
            <w:tcW w:w="1809" w:type="dxa"/>
          </w:tcPr>
          <w:p w14:paraId="0C9BD042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09h00 – 09h15</w:t>
            </w:r>
          </w:p>
        </w:tc>
        <w:tc>
          <w:tcPr>
            <w:tcW w:w="7207" w:type="dxa"/>
          </w:tcPr>
          <w:p w14:paraId="50913071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Opening Remarks</w:t>
            </w:r>
          </w:p>
          <w:p w14:paraId="6CFC4F4A" w14:textId="104013E5" w:rsidR="002C57CD" w:rsidRPr="00A30722" w:rsidRDefault="00AA42FA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ind w:left="208" w:hanging="142"/>
              <w:contextualSpacing w:val="0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Barbados</w:t>
            </w:r>
          </w:p>
          <w:p w14:paraId="60B29A7C" w14:textId="77777777" w:rsidR="002C57CD" w:rsidRPr="00A30722" w:rsidRDefault="002C57CD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ind w:left="208" w:hanging="142"/>
              <w:contextualSpacing w:val="0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lastRenderedPageBreak/>
              <w:t>International Trade Centre</w:t>
            </w:r>
          </w:p>
          <w:p w14:paraId="5868B734" w14:textId="77777777" w:rsidR="00AA42FA" w:rsidRPr="00A30722" w:rsidRDefault="00AA42FA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ind w:left="208" w:hanging="142"/>
              <w:contextualSpacing w:val="0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Inter-American Development Bank</w:t>
            </w:r>
          </w:p>
          <w:p w14:paraId="267ACDD5" w14:textId="17D59667" w:rsidR="00AA42FA" w:rsidRPr="00A30722" w:rsidRDefault="00AA42FA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ind w:left="208" w:hanging="142"/>
              <w:contextualSpacing w:val="0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World Trade Organization </w:t>
            </w:r>
          </w:p>
        </w:tc>
      </w:tr>
      <w:tr w:rsidR="002C57CD" w:rsidRPr="00A30722" w14:paraId="1ED061BA" w14:textId="77777777" w:rsidTr="005D13D0">
        <w:trPr>
          <w:trHeight w:val="541"/>
        </w:trPr>
        <w:tc>
          <w:tcPr>
            <w:tcW w:w="1809" w:type="dxa"/>
          </w:tcPr>
          <w:p w14:paraId="719D048C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09h15 – 10h00</w:t>
            </w:r>
          </w:p>
        </w:tc>
        <w:tc>
          <w:tcPr>
            <w:tcW w:w="7207" w:type="dxa"/>
          </w:tcPr>
          <w:p w14:paraId="2FC4720F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Setting the Context: Investment Facilitation – Relevance and Process</w:t>
            </w:r>
          </w:p>
          <w:p w14:paraId="1E588563" w14:textId="662DBB83" w:rsidR="002C57CD" w:rsidRPr="00A30722" w:rsidRDefault="002C57CD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ind w:left="349" w:hanging="283"/>
              <w:contextualSpacing w:val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  <w:t xml:space="preserve">Relevance of the IFD for developing countries and importance of the needs assessment process – </w:t>
            </w:r>
            <w:r w:rsidRPr="00A3072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  <w14:ligatures w14:val="none"/>
              </w:rPr>
              <w:t>Quan Zhao</w:t>
            </w:r>
            <w:r w:rsidRPr="00DF55C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  <w14:ligatures w14:val="none"/>
              </w:rPr>
              <w:t>, Senior Programme Officer</w:t>
            </w:r>
            <w:r w:rsidR="00416BE7" w:rsidRPr="00DF55C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  <w14:ligatures w14:val="none"/>
              </w:rPr>
              <w:t xml:space="preserve"> – Trade Policy</w:t>
            </w:r>
            <w:r w:rsidRPr="00DF55C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  <w14:ligatures w14:val="none"/>
              </w:rPr>
              <w:t>,</w:t>
            </w:r>
            <w:r w:rsidR="00416BE7" w:rsidRPr="00DF55C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  <w14:ligatures w14:val="none"/>
              </w:rPr>
              <w:t xml:space="preserve"> Division for Market Development,</w:t>
            </w:r>
            <w:r w:rsidRPr="00DF55C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  <w14:ligatures w14:val="none"/>
              </w:rPr>
              <w:t xml:space="preserve"> ITC</w:t>
            </w:r>
          </w:p>
          <w:p w14:paraId="60BF2A8B" w14:textId="0A85C8AB" w:rsidR="00416BE7" w:rsidRPr="00DF55C0" w:rsidRDefault="00416BE7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ind w:left="349" w:hanging="283"/>
              <w:contextualSpacing w:val="0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  <w:t xml:space="preserve">Regional and country perspectives on investment facilitation – </w:t>
            </w:r>
            <w:r w:rsidRPr="00DF55C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  <w14:ligatures w14:val="none"/>
              </w:rPr>
              <w:t>Krista Lucenti, Lead Specialist and Regional Coordinator, Caribbean, Trade and Investment Division, IDB</w:t>
            </w:r>
          </w:p>
          <w:p w14:paraId="3B290374" w14:textId="21D67E33" w:rsidR="00380360" w:rsidRPr="00380360" w:rsidRDefault="003308CE" w:rsidP="00380360">
            <w:pPr>
              <w:pStyle w:val="ListParagraph"/>
              <w:numPr>
                <w:ilvl w:val="0"/>
                <w:numId w:val="15"/>
              </w:numPr>
              <w:spacing w:before="80" w:after="80"/>
              <w:ind w:left="349" w:hanging="283"/>
              <w:contextualSpacing w:val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  <w:t>Needs Assessment – Information Collection Process</w:t>
            </w:r>
            <w:r w:rsidR="00416BE7" w:rsidRPr="00A307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2C57CD" w:rsidRPr="00A307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  <w:t xml:space="preserve">– </w:t>
            </w:r>
            <w:r w:rsidR="005E28B0" w:rsidRPr="0091457E">
              <w:rPr>
                <w:rFonts w:ascii="Arial" w:eastAsiaTheme="majorEastAsia" w:hAnsi="Arial" w:cs="Arial"/>
                <w:i/>
                <w:iCs/>
                <w:sz w:val="20"/>
                <w:szCs w:val="20"/>
              </w:rPr>
              <w:t>Paula Byer, Director of Foreign Trade (ag.)</w:t>
            </w:r>
            <w:r w:rsidR="005539E3">
              <w:rPr>
                <w:rFonts w:ascii="Arial" w:eastAsiaTheme="majorEastAsia" w:hAnsi="Arial" w:cs="Arial"/>
                <w:i/>
                <w:iCs/>
                <w:sz w:val="20"/>
                <w:szCs w:val="20"/>
              </w:rPr>
              <w:t xml:space="preserve">, </w:t>
            </w:r>
            <w:r w:rsidR="005539E3" w:rsidRPr="0091457E">
              <w:rPr>
                <w:rFonts w:ascii="Arial" w:eastAsiaTheme="majorEastAsia" w:hAnsi="Arial" w:cs="Arial"/>
                <w:i/>
                <w:iCs/>
                <w:sz w:val="20"/>
                <w:szCs w:val="20"/>
              </w:rPr>
              <w:t>Ministry of Foreign Affairs and Foreign Trade</w:t>
            </w:r>
            <w:r w:rsidR="005539E3" w:rsidRPr="0091457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  <w14:ligatures w14:val="none"/>
              </w:rPr>
              <w:t>,</w:t>
            </w:r>
            <w:r w:rsidR="005539E3">
              <w:rPr>
                <w:rFonts w:ascii="Calibri" w:hAnsi="Calibri" w:cs="Calibri"/>
                <w:color w:val="1F497D"/>
                <w:sz w:val="28"/>
                <w:szCs w:val="28"/>
              </w:rPr>
              <w:t xml:space="preserve"> </w:t>
            </w:r>
            <w:r w:rsidR="00416BE7" w:rsidRPr="005539E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GB"/>
                <w14:ligatures w14:val="none"/>
              </w:rPr>
              <w:t xml:space="preserve">Barbados </w:t>
            </w:r>
          </w:p>
          <w:p w14:paraId="782AD8E9" w14:textId="3CB435D5" w:rsidR="002C57CD" w:rsidRPr="00380360" w:rsidRDefault="005E28B0" w:rsidP="00380360">
            <w:pPr>
              <w:pStyle w:val="ListParagraph"/>
              <w:numPr>
                <w:ilvl w:val="0"/>
                <w:numId w:val="15"/>
              </w:numPr>
              <w:spacing w:before="80" w:after="80"/>
              <w:ind w:left="349" w:hanging="283"/>
              <w:contextualSpacing w:val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  <w:t>Overview of the IFD Agreement and the IF needs assessment Guide</w:t>
            </w:r>
            <w:r w:rsidR="002C57CD" w:rsidRPr="003803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  <w:t xml:space="preserve"> – </w:t>
            </w:r>
            <w:r w:rsidR="00380360" w:rsidRPr="00380360">
              <w:rPr>
                <w:rFonts w:ascii="Arial" w:eastAsiaTheme="majorEastAsia" w:hAnsi="Arial" w:cs="Arial"/>
                <w:i/>
                <w:iCs/>
                <w:sz w:val="20"/>
                <w:szCs w:val="20"/>
              </w:rPr>
              <w:t>Pamela Apaza, Legal Affairs Officer, Trade in Services and Investment Division, WTO</w:t>
            </w:r>
          </w:p>
        </w:tc>
      </w:tr>
      <w:tr w:rsidR="002C57CD" w:rsidRPr="00A30722" w14:paraId="30DAFECC" w14:textId="77777777" w:rsidTr="005D13D0">
        <w:trPr>
          <w:trHeight w:val="319"/>
        </w:trPr>
        <w:tc>
          <w:tcPr>
            <w:tcW w:w="1809" w:type="dxa"/>
            <w:shd w:val="clear" w:color="auto" w:fill="E8E8E8" w:themeFill="background2"/>
          </w:tcPr>
          <w:p w14:paraId="3B41D272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10h00 – 10h15</w:t>
            </w:r>
          </w:p>
        </w:tc>
        <w:tc>
          <w:tcPr>
            <w:tcW w:w="7207" w:type="dxa"/>
            <w:shd w:val="clear" w:color="auto" w:fill="E8E8E8" w:themeFill="background2"/>
          </w:tcPr>
          <w:p w14:paraId="673329E4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Refreshment Break</w:t>
            </w:r>
          </w:p>
        </w:tc>
      </w:tr>
      <w:tr w:rsidR="002C57CD" w:rsidRPr="00A30722" w14:paraId="597F8FEE" w14:textId="77777777" w:rsidTr="005D13D0">
        <w:trPr>
          <w:trHeight w:val="782"/>
        </w:trPr>
        <w:tc>
          <w:tcPr>
            <w:tcW w:w="1809" w:type="dxa"/>
          </w:tcPr>
          <w:p w14:paraId="5C6DB252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10h15– 11h00</w:t>
            </w:r>
          </w:p>
        </w:tc>
        <w:tc>
          <w:tcPr>
            <w:tcW w:w="7207" w:type="dxa"/>
          </w:tcPr>
          <w:p w14:paraId="775EE84D" w14:textId="77777777" w:rsidR="002C57CD" w:rsidRPr="00A30722" w:rsidRDefault="002C57CD" w:rsidP="00A30722">
            <w:pPr>
              <w:spacing w:before="80" w:after="8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Section II: Transparency of Investment Measures</w:t>
            </w:r>
          </w:p>
          <w:p w14:paraId="0F02BD20" w14:textId="6881F4E8" w:rsidR="002C57CD" w:rsidRPr="00A30722" w:rsidRDefault="002C57CD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Recap of provisions </w:t>
            </w:r>
            <w:r w:rsidR="003308C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(Plenary)</w:t>
            </w:r>
          </w:p>
          <w:p w14:paraId="771E1E5B" w14:textId="3BDEBBDB" w:rsidR="002C57CD" w:rsidRPr="00A30722" w:rsidRDefault="003308CE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Q&amp;A</w:t>
            </w:r>
          </w:p>
        </w:tc>
      </w:tr>
      <w:tr w:rsidR="002C57CD" w:rsidRPr="00A30722" w14:paraId="6178333C" w14:textId="77777777" w:rsidTr="005D13D0">
        <w:trPr>
          <w:trHeight w:val="513"/>
        </w:trPr>
        <w:tc>
          <w:tcPr>
            <w:tcW w:w="1809" w:type="dxa"/>
          </w:tcPr>
          <w:p w14:paraId="0DC17581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11h00 – 12h30</w:t>
            </w:r>
          </w:p>
        </w:tc>
        <w:tc>
          <w:tcPr>
            <w:tcW w:w="7207" w:type="dxa"/>
          </w:tcPr>
          <w:p w14:paraId="51C599BF" w14:textId="77777777" w:rsidR="002C57CD" w:rsidRPr="00A30722" w:rsidRDefault="002C57CD" w:rsidP="00A30722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Section II: Transparency of Investment Measures</w:t>
            </w:r>
          </w:p>
          <w:p w14:paraId="77C37DFB" w14:textId="77777777" w:rsidR="002C57CD" w:rsidRPr="0091457E" w:rsidRDefault="002C57CD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Breakout sessions</w:t>
            </w:r>
          </w:p>
          <w:p w14:paraId="24A823F5" w14:textId="2B418918" w:rsidR="003308CE" w:rsidRPr="00A30722" w:rsidRDefault="003308CE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Presentation of the discussion outcomes (Plenary)</w:t>
            </w:r>
          </w:p>
        </w:tc>
      </w:tr>
      <w:tr w:rsidR="002C57CD" w:rsidRPr="00A30722" w14:paraId="01B53B10" w14:textId="77777777" w:rsidTr="005D13D0">
        <w:trPr>
          <w:trHeight w:val="409"/>
        </w:trPr>
        <w:tc>
          <w:tcPr>
            <w:tcW w:w="1809" w:type="dxa"/>
            <w:shd w:val="clear" w:color="auto" w:fill="E8E8E8" w:themeFill="background2"/>
          </w:tcPr>
          <w:p w14:paraId="5B527EB4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12h30 – 13h30</w:t>
            </w:r>
          </w:p>
        </w:tc>
        <w:tc>
          <w:tcPr>
            <w:tcW w:w="7207" w:type="dxa"/>
            <w:shd w:val="clear" w:color="auto" w:fill="E8E8E8" w:themeFill="background2"/>
          </w:tcPr>
          <w:p w14:paraId="06D3AD8A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Lunch Break</w:t>
            </w:r>
          </w:p>
        </w:tc>
      </w:tr>
      <w:tr w:rsidR="002C57CD" w:rsidRPr="00A30722" w14:paraId="6C0C554C" w14:textId="77777777" w:rsidTr="005D13D0">
        <w:trPr>
          <w:trHeight w:val="489"/>
        </w:trPr>
        <w:tc>
          <w:tcPr>
            <w:tcW w:w="1809" w:type="dxa"/>
          </w:tcPr>
          <w:p w14:paraId="20A78392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13h30 – 14h15</w:t>
            </w:r>
          </w:p>
        </w:tc>
        <w:tc>
          <w:tcPr>
            <w:tcW w:w="7207" w:type="dxa"/>
          </w:tcPr>
          <w:p w14:paraId="556F38B4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Section III: Streamlining and Speeding Up Administrative Procedures</w:t>
            </w:r>
          </w:p>
          <w:p w14:paraId="26DF38DE" w14:textId="5BF04DB0" w:rsidR="002C57CD" w:rsidRPr="00A30722" w:rsidRDefault="002C57CD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Recap of provisions</w:t>
            </w:r>
            <w:r w:rsidR="003308C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(Plenary) </w:t>
            </w:r>
          </w:p>
          <w:p w14:paraId="5C957091" w14:textId="6AD9942D" w:rsidR="002C57CD" w:rsidRPr="00A30722" w:rsidRDefault="003308CE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Q&amp;A</w:t>
            </w:r>
          </w:p>
        </w:tc>
      </w:tr>
      <w:tr w:rsidR="002C57CD" w:rsidRPr="00A30722" w14:paraId="4525CD1E" w14:textId="77777777" w:rsidTr="005D13D0">
        <w:trPr>
          <w:trHeight w:val="255"/>
        </w:trPr>
        <w:tc>
          <w:tcPr>
            <w:tcW w:w="1809" w:type="dxa"/>
          </w:tcPr>
          <w:p w14:paraId="303130A8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14h15 – 15h00</w:t>
            </w:r>
          </w:p>
        </w:tc>
        <w:tc>
          <w:tcPr>
            <w:tcW w:w="7207" w:type="dxa"/>
          </w:tcPr>
          <w:p w14:paraId="6A247405" w14:textId="77777777" w:rsidR="002C57CD" w:rsidRPr="00A30722" w:rsidRDefault="002C57CD" w:rsidP="00A30722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722">
              <w:rPr>
                <w:rFonts w:ascii="Arial" w:hAnsi="Arial" w:cs="Arial"/>
                <w:b/>
                <w:bCs/>
                <w:sz w:val="20"/>
                <w:szCs w:val="20"/>
              </w:rPr>
              <w:t>Section III: Streamlining and Speeding Up Administrative Procedures</w:t>
            </w:r>
          </w:p>
          <w:p w14:paraId="1383DF9A" w14:textId="2935F9DB" w:rsidR="003308CE" w:rsidRPr="0091457E" w:rsidRDefault="002C57CD" w:rsidP="003308CE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hAnsi="Arial" w:cs="Arial"/>
                <w:sz w:val="20"/>
                <w:szCs w:val="20"/>
              </w:rPr>
              <w:t>Breakout sessions</w:t>
            </w:r>
          </w:p>
        </w:tc>
      </w:tr>
      <w:tr w:rsidR="002C57CD" w:rsidRPr="00A30722" w14:paraId="13CDD703" w14:textId="77777777" w:rsidTr="005D13D0">
        <w:trPr>
          <w:trHeight w:val="446"/>
        </w:trPr>
        <w:tc>
          <w:tcPr>
            <w:tcW w:w="1809" w:type="dxa"/>
            <w:shd w:val="clear" w:color="auto" w:fill="E8E8E8" w:themeFill="background2"/>
          </w:tcPr>
          <w:p w14:paraId="563ADE40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15h00 – 15h15</w:t>
            </w:r>
          </w:p>
        </w:tc>
        <w:tc>
          <w:tcPr>
            <w:tcW w:w="7207" w:type="dxa"/>
            <w:shd w:val="clear" w:color="auto" w:fill="E8E8E8" w:themeFill="background2"/>
          </w:tcPr>
          <w:p w14:paraId="2B6D1BBC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Refreshment Break</w:t>
            </w:r>
          </w:p>
        </w:tc>
      </w:tr>
      <w:tr w:rsidR="002C57CD" w:rsidRPr="00A30722" w14:paraId="3FB56D7F" w14:textId="77777777" w:rsidTr="005D13D0">
        <w:trPr>
          <w:trHeight w:val="446"/>
        </w:trPr>
        <w:tc>
          <w:tcPr>
            <w:tcW w:w="1809" w:type="dxa"/>
          </w:tcPr>
          <w:p w14:paraId="5ABE4E27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15h15 – 16h15</w:t>
            </w:r>
          </w:p>
        </w:tc>
        <w:tc>
          <w:tcPr>
            <w:tcW w:w="7207" w:type="dxa"/>
          </w:tcPr>
          <w:p w14:paraId="51C9139F" w14:textId="77777777" w:rsidR="002C57CD" w:rsidRPr="00A30722" w:rsidRDefault="002C57CD" w:rsidP="00A30722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722">
              <w:rPr>
                <w:rFonts w:ascii="Arial" w:hAnsi="Arial" w:cs="Arial"/>
                <w:b/>
                <w:bCs/>
                <w:sz w:val="20"/>
                <w:szCs w:val="20"/>
              </w:rPr>
              <w:t>Section III: Streamlining and Speeding Up Administrative Procedures</w:t>
            </w:r>
          </w:p>
          <w:p w14:paraId="35E03487" w14:textId="77777777" w:rsidR="002C57CD" w:rsidRPr="0091457E" w:rsidRDefault="002C57CD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hAnsi="Arial" w:cs="Arial"/>
                <w:sz w:val="20"/>
                <w:szCs w:val="20"/>
              </w:rPr>
              <w:t>Breakout sessions (Cont</w:t>
            </w:r>
            <w:r w:rsidR="00CF413F" w:rsidRPr="00A30722">
              <w:rPr>
                <w:rFonts w:ascii="Arial" w:hAnsi="Arial" w:cs="Arial"/>
                <w:sz w:val="20"/>
                <w:szCs w:val="20"/>
              </w:rPr>
              <w:t xml:space="preserve">inued) </w:t>
            </w:r>
          </w:p>
          <w:p w14:paraId="2A02925B" w14:textId="03208CF3" w:rsidR="003308CE" w:rsidRPr="00A30722" w:rsidRDefault="003308CE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Presentation of the discussion outcomes (Plenary)</w:t>
            </w:r>
          </w:p>
        </w:tc>
      </w:tr>
      <w:tr w:rsidR="002C57CD" w:rsidRPr="00A30722" w14:paraId="7FA0595A" w14:textId="77777777" w:rsidTr="005D13D0">
        <w:trPr>
          <w:trHeight w:val="446"/>
        </w:trPr>
        <w:tc>
          <w:tcPr>
            <w:tcW w:w="1809" w:type="dxa"/>
          </w:tcPr>
          <w:p w14:paraId="2E368312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16h15 – 16h30</w:t>
            </w:r>
          </w:p>
        </w:tc>
        <w:tc>
          <w:tcPr>
            <w:tcW w:w="7207" w:type="dxa"/>
          </w:tcPr>
          <w:p w14:paraId="7C4F0C86" w14:textId="77777777" w:rsidR="002C57CD" w:rsidRPr="00A30722" w:rsidRDefault="002C57CD" w:rsidP="00A30722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722">
              <w:rPr>
                <w:rFonts w:ascii="Arial" w:hAnsi="Arial" w:cs="Arial"/>
                <w:b/>
                <w:bCs/>
                <w:sz w:val="20"/>
                <w:szCs w:val="20"/>
              </w:rPr>
              <w:t>Closing of Day 1</w:t>
            </w:r>
          </w:p>
        </w:tc>
      </w:tr>
    </w:tbl>
    <w:p w14:paraId="193B8FCE" w14:textId="77777777" w:rsidR="002C57CD" w:rsidRPr="00A30722" w:rsidRDefault="002C57CD" w:rsidP="00A30722">
      <w:pPr>
        <w:pStyle w:val="paragraph"/>
        <w:spacing w:before="80" w:beforeAutospacing="0" w:after="8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494DCC79" w14:textId="77777777" w:rsidR="002C57CD" w:rsidRPr="00A30722" w:rsidRDefault="002C57CD" w:rsidP="00A30722">
      <w:pPr>
        <w:pStyle w:val="paragraph"/>
        <w:spacing w:before="80" w:beforeAutospacing="0" w:after="8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207"/>
      </w:tblGrid>
      <w:tr w:rsidR="002C57CD" w:rsidRPr="00A30722" w14:paraId="62062C3A" w14:textId="77777777" w:rsidTr="005D13D0">
        <w:trPr>
          <w:trHeight w:val="300"/>
        </w:trPr>
        <w:tc>
          <w:tcPr>
            <w:tcW w:w="9016" w:type="dxa"/>
            <w:gridSpan w:val="2"/>
            <w:tcBorders>
              <w:right w:val="single" w:sz="4" w:space="0" w:color="auto"/>
            </w:tcBorders>
            <w:shd w:val="clear" w:color="auto" w:fill="0F4761" w:themeFill="accent1" w:themeFillShade="BF"/>
          </w:tcPr>
          <w:p w14:paraId="58EEF3A7" w14:textId="0FDA6B19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 w:bidi="th-TH"/>
                <w14:ligatures w14:val="none"/>
              </w:rPr>
            </w:pPr>
            <w:r w:rsidRPr="00A30722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  <w:t xml:space="preserve">Day 2: </w:t>
            </w:r>
            <w:r w:rsidR="00416BE7" w:rsidRPr="00A30722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  <w:t>Wednesday</w:t>
            </w:r>
            <w:r w:rsidRPr="00A30722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416BE7" w:rsidRPr="00A30722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="00AB1711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A30722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352960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  <w:t>February</w:t>
            </w:r>
            <w:r w:rsidR="00352960" w:rsidRPr="00A30722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30722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eastAsia="en-GB"/>
                <w14:ligatures w14:val="none"/>
              </w:rPr>
              <w:t>202</w:t>
            </w:r>
            <w:r w:rsidR="003C37DF">
              <w:rPr>
                <w:rFonts w:ascii="Arial" w:eastAsia="Times New Roman" w:hAnsi="Arial" w:cs="Arial"/>
                <w:b/>
                <w:bCs/>
                <w:color w:val="E8E8E8" w:themeColor="background2"/>
                <w:kern w:val="0"/>
                <w:sz w:val="20"/>
                <w:szCs w:val="20"/>
                <w:lang w:val="en-US" w:eastAsia="en-GB"/>
                <w14:ligatures w14:val="none"/>
              </w:rPr>
              <w:t>5</w:t>
            </w:r>
          </w:p>
        </w:tc>
      </w:tr>
      <w:tr w:rsidR="002C57CD" w:rsidRPr="00A30722" w14:paraId="07174DEB" w14:textId="77777777" w:rsidTr="005D13D0">
        <w:trPr>
          <w:trHeight w:val="300"/>
        </w:trPr>
        <w:tc>
          <w:tcPr>
            <w:tcW w:w="1809" w:type="dxa"/>
            <w:shd w:val="clear" w:color="auto" w:fill="C1E4F5" w:themeFill="accent1" w:themeFillTint="33"/>
          </w:tcPr>
          <w:p w14:paraId="21DB8FC1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D0D0D" w:themeColor="text1" w:themeTint="F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Times New Roman" w:hAnsi="Arial" w:cs="Arial"/>
                <w:b/>
                <w:bCs/>
                <w:color w:val="0D0D0D" w:themeColor="text1" w:themeTint="F2"/>
                <w:kern w:val="0"/>
                <w:sz w:val="20"/>
                <w:szCs w:val="20"/>
                <w:lang w:eastAsia="en-GB"/>
                <w14:ligatures w14:val="none"/>
              </w:rPr>
              <w:t>TIME</w:t>
            </w:r>
          </w:p>
        </w:tc>
        <w:tc>
          <w:tcPr>
            <w:tcW w:w="7207" w:type="dxa"/>
            <w:shd w:val="clear" w:color="auto" w:fill="C1E4F5" w:themeFill="accent1" w:themeFillTint="33"/>
          </w:tcPr>
          <w:p w14:paraId="7F269B0D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D0D0D" w:themeColor="text1" w:themeTint="F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Times New Roman" w:hAnsi="Arial" w:cs="Arial"/>
                <w:b/>
                <w:bCs/>
                <w:color w:val="0D0D0D" w:themeColor="text1" w:themeTint="F2"/>
                <w:kern w:val="0"/>
                <w:sz w:val="20"/>
                <w:szCs w:val="20"/>
                <w:lang w:eastAsia="en-GB"/>
                <w14:ligatures w14:val="none"/>
              </w:rPr>
              <w:t>DETAILS</w:t>
            </w:r>
          </w:p>
        </w:tc>
      </w:tr>
      <w:tr w:rsidR="002C57CD" w:rsidRPr="00A30722" w14:paraId="15723791" w14:textId="77777777" w:rsidTr="005D13D0">
        <w:trPr>
          <w:trHeight w:val="432"/>
        </w:trPr>
        <w:tc>
          <w:tcPr>
            <w:tcW w:w="1809" w:type="dxa"/>
          </w:tcPr>
          <w:p w14:paraId="2414DE28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09h00 – 09h15</w:t>
            </w:r>
          </w:p>
        </w:tc>
        <w:tc>
          <w:tcPr>
            <w:tcW w:w="7207" w:type="dxa"/>
          </w:tcPr>
          <w:p w14:paraId="4F9B5755" w14:textId="77777777" w:rsidR="002C57CD" w:rsidRPr="00A30722" w:rsidRDefault="002C57CD" w:rsidP="00A30722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Recap of Day 1 and Plan for Day 2</w:t>
            </w:r>
          </w:p>
        </w:tc>
      </w:tr>
      <w:tr w:rsidR="002C57CD" w:rsidRPr="00A30722" w14:paraId="26CF7F0D" w14:textId="77777777" w:rsidTr="005D13D0">
        <w:trPr>
          <w:trHeight w:val="208"/>
        </w:trPr>
        <w:tc>
          <w:tcPr>
            <w:tcW w:w="1809" w:type="dxa"/>
          </w:tcPr>
          <w:p w14:paraId="59CA676D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lastRenderedPageBreak/>
              <w:t>09h15 – 10h00</w:t>
            </w:r>
          </w:p>
        </w:tc>
        <w:tc>
          <w:tcPr>
            <w:tcW w:w="7207" w:type="dxa"/>
          </w:tcPr>
          <w:p w14:paraId="44EEB1D0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CA" w:eastAsia="en-GB"/>
                <w14:ligatures w14:val="none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CA" w:eastAsia="en-GB"/>
                <w14:ligatures w14:val="none"/>
              </w:rPr>
              <w:t>Section IV: Focal Points, Domestic Regulatory Coherence and Cross-Border Cooperation</w:t>
            </w:r>
          </w:p>
          <w:p w14:paraId="14286403" w14:textId="0CC45051" w:rsidR="002C57CD" w:rsidRPr="00A30722" w:rsidRDefault="002C57CD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Recap of provisions</w:t>
            </w:r>
            <w:r w:rsidR="003308CE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 xml:space="preserve"> (Plenary)</w:t>
            </w:r>
          </w:p>
          <w:p w14:paraId="6C918CB2" w14:textId="50F1C01C" w:rsidR="003308CE" w:rsidRPr="0091457E" w:rsidRDefault="003308CE" w:rsidP="003308CE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Q&amp;A</w:t>
            </w:r>
          </w:p>
        </w:tc>
      </w:tr>
      <w:tr w:rsidR="002C57CD" w:rsidRPr="00A30722" w14:paraId="42154D60" w14:textId="77777777" w:rsidTr="005D13D0">
        <w:trPr>
          <w:trHeight w:val="208"/>
        </w:trPr>
        <w:tc>
          <w:tcPr>
            <w:tcW w:w="1809" w:type="dxa"/>
            <w:shd w:val="clear" w:color="auto" w:fill="E8E8E8" w:themeFill="background2"/>
          </w:tcPr>
          <w:p w14:paraId="0149EF44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10h00 – 10h15</w:t>
            </w:r>
          </w:p>
        </w:tc>
        <w:tc>
          <w:tcPr>
            <w:tcW w:w="7207" w:type="dxa"/>
            <w:shd w:val="clear" w:color="auto" w:fill="E8E8E8" w:themeFill="background2"/>
          </w:tcPr>
          <w:p w14:paraId="0C6CB981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CA" w:eastAsia="en-GB"/>
                <w14:ligatures w14:val="none"/>
              </w:rPr>
            </w:pPr>
            <w:r w:rsidRPr="00A30722">
              <w:rPr>
                <w:rFonts w:ascii="Arial" w:eastAsia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CA" w:eastAsia="en-GB"/>
                <w14:ligatures w14:val="none"/>
              </w:rPr>
              <w:t>Refreshment Break</w:t>
            </w:r>
          </w:p>
        </w:tc>
      </w:tr>
      <w:tr w:rsidR="002C57CD" w:rsidRPr="00A30722" w14:paraId="1992B8C3" w14:textId="77777777" w:rsidTr="005D13D0">
        <w:trPr>
          <w:trHeight w:val="208"/>
        </w:trPr>
        <w:tc>
          <w:tcPr>
            <w:tcW w:w="1809" w:type="dxa"/>
          </w:tcPr>
          <w:p w14:paraId="4646341A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10h00 – 12h00</w:t>
            </w:r>
          </w:p>
        </w:tc>
        <w:tc>
          <w:tcPr>
            <w:tcW w:w="7207" w:type="dxa"/>
          </w:tcPr>
          <w:p w14:paraId="0E49B1F9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CA" w:eastAsia="en-GB"/>
                <w14:ligatures w14:val="none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CA" w:eastAsia="en-GB"/>
                <w14:ligatures w14:val="none"/>
              </w:rPr>
              <w:t>Section IV: Focal Points, Domestic Regulatory Coherence and Cross-Border Cooperation</w:t>
            </w:r>
          </w:p>
          <w:p w14:paraId="6C629D45" w14:textId="77777777" w:rsidR="002C57CD" w:rsidRDefault="002C57CD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 xml:space="preserve">Breakout sessions </w:t>
            </w:r>
          </w:p>
          <w:p w14:paraId="3C3D5FD8" w14:textId="0ACDF3D8" w:rsidR="003308CE" w:rsidRPr="00A30722" w:rsidRDefault="003308CE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Presentation of the discussion outcomes (Plenary)</w:t>
            </w:r>
          </w:p>
        </w:tc>
      </w:tr>
      <w:tr w:rsidR="002C57CD" w:rsidRPr="00A30722" w14:paraId="1E5AF540" w14:textId="77777777" w:rsidTr="005D13D0">
        <w:trPr>
          <w:trHeight w:val="208"/>
        </w:trPr>
        <w:tc>
          <w:tcPr>
            <w:tcW w:w="1809" w:type="dxa"/>
            <w:shd w:val="clear" w:color="auto" w:fill="E8E8E8" w:themeFill="background2"/>
          </w:tcPr>
          <w:p w14:paraId="2CC6DBC5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12h00 – 13h15</w:t>
            </w:r>
          </w:p>
        </w:tc>
        <w:tc>
          <w:tcPr>
            <w:tcW w:w="7207" w:type="dxa"/>
            <w:shd w:val="clear" w:color="auto" w:fill="E8E8E8" w:themeFill="background2"/>
          </w:tcPr>
          <w:p w14:paraId="63E9E09E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CA" w:eastAsia="en-GB"/>
                <w14:ligatures w14:val="none"/>
              </w:rPr>
            </w:pPr>
            <w:r w:rsidRPr="00A30722">
              <w:rPr>
                <w:rFonts w:ascii="Arial" w:eastAsia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CA" w:eastAsia="en-GB"/>
                <w14:ligatures w14:val="none"/>
              </w:rPr>
              <w:t>Lunch</w:t>
            </w:r>
          </w:p>
        </w:tc>
      </w:tr>
      <w:tr w:rsidR="002C57CD" w:rsidRPr="00A30722" w14:paraId="447DB3FB" w14:textId="77777777" w:rsidTr="005D13D0">
        <w:trPr>
          <w:trHeight w:val="208"/>
        </w:trPr>
        <w:tc>
          <w:tcPr>
            <w:tcW w:w="1809" w:type="dxa"/>
          </w:tcPr>
          <w:p w14:paraId="227F68A6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13h15 – 14h00</w:t>
            </w:r>
          </w:p>
        </w:tc>
        <w:tc>
          <w:tcPr>
            <w:tcW w:w="7207" w:type="dxa"/>
          </w:tcPr>
          <w:p w14:paraId="0CDE7E53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Section V: Sustainable Investment</w:t>
            </w:r>
          </w:p>
          <w:p w14:paraId="4EA0FDB5" w14:textId="53F8C864" w:rsidR="002C57CD" w:rsidRPr="00A30722" w:rsidRDefault="002C57CD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Recap of provisions</w:t>
            </w:r>
            <w:r w:rsidR="003308C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308CE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(Plenary)</w:t>
            </w:r>
          </w:p>
          <w:p w14:paraId="1131F481" w14:textId="6563CEA2" w:rsidR="002C57CD" w:rsidRPr="00A30722" w:rsidRDefault="003308CE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Q&amp;A</w:t>
            </w:r>
          </w:p>
        </w:tc>
      </w:tr>
      <w:tr w:rsidR="002C57CD" w:rsidRPr="00A30722" w14:paraId="1DBAD25D" w14:textId="77777777" w:rsidTr="005D13D0">
        <w:trPr>
          <w:trHeight w:val="208"/>
        </w:trPr>
        <w:tc>
          <w:tcPr>
            <w:tcW w:w="1809" w:type="dxa"/>
          </w:tcPr>
          <w:p w14:paraId="256E8A17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14h00 – 15h00</w:t>
            </w:r>
          </w:p>
        </w:tc>
        <w:tc>
          <w:tcPr>
            <w:tcW w:w="7207" w:type="dxa"/>
          </w:tcPr>
          <w:p w14:paraId="1CB44908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Section V: Sustainable Investment</w:t>
            </w:r>
          </w:p>
          <w:p w14:paraId="4B6285FB" w14:textId="77777777" w:rsidR="002C57CD" w:rsidRPr="00A30722" w:rsidRDefault="002C57CD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Breakout sessions</w:t>
            </w:r>
          </w:p>
        </w:tc>
      </w:tr>
      <w:tr w:rsidR="002C57CD" w:rsidRPr="00A30722" w14:paraId="432D0FB3" w14:textId="77777777" w:rsidTr="005D13D0">
        <w:trPr>
          <w:trHeight w:val="208"/>
        </w:trPr>
        <w:tc>
          <w:tcPr>
            <w:tcW w:w="1809" w:type="dxa"/>
          </w:tcPr>
          <w:p w14:paraId="23250E02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15h15 – 15h30</w:t>
            </w:r>
          </w:p>
        </w:tc>
        <w:tc>
          <w:tcPr>
            <w:tcW w:w="7207" w:type="dxa"/>
          </w:tcPr>
          <w:p w14:paraId="5F971C7F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  <w14:ligatures w14:val="none"/>
              </w:rPr>
              <w:t xml:space="preserve">Refreshment Break </w:t>
            </w:r>
          </w:p>
        </w:tc>
      </w:tr>
      <w:tr w:rsidR="002C57CD" w:rsidRPr="00A30722" w14:paraId="5D6FA749" w14:textId="77777777" w:rsidTr="005D13D0">
        <w:trPr>
          <w:trHeight w:val="208"/>
        </w:trPr>
        <w:tc>
          <w:tcPr>
            <w:tcW w:w="1809" w:type="dxa"/>
          </w:tcPr>
          <w:p w14:paraId="32C01E85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15h30 – 16h00 </w:t>
            </w:r>
          </w:p>
        </w:tc>
        <w:tc>
          <w:tcPr>
            <w:tcW w:w="7207" w:type="dxa"/>
          </w:tcPr>
          <w:p w14:paraId="0F5F9BA7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Section V: Sustainable Investment</w:t>
            </w:r>
          </w:p>
          <w:p w14:paraId="3DE4472B" w14:textId="77777777" w:rsidR="002C57CD" w:rsidRDefault="002C57CD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A30722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Breakout sessions (Cont</w:t>
            </w:r>
            <w:r w:rsidR="00A30722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  <w:t>inued)</w:t>
            </w:r>
          </w:p>
          <w:p w14:paraId="61E30625" w14:textId="1E8C38E4" w:rsidR="003308CE" w:rsidRPr="00A30722" w:rsidRDefault="003308CE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Presentation of the discussion outcomes (Plenary)</w:t>
            </w:r>
          </w:p>
        </w:tc>
      </w:tr>
      <w:tr w:rsidR="002C57CD" w:rsidRPr="00A30722" w14:paraId="036E2401" w14:textId="77777777" w:rsidTr="005D13D0">
        <w:trPr>
          <w:trHeight w:val="208"/>
        </w:trPr>
        <w:tc>
          <w:tcPr>
            <w:tcW w:w="1809" w:type="dxa"/>
          </w:tcPr>
          <w:p w14:paraId="1F71804D" w14:textId="77777777" w:rsidR="002C57CD" w:rsidRPr="00A30722" w:rsidRDefault="002C57CD" w:rsidP="00A30722">
            <w:pPr>
              <w:spacing w:before="80" w:after="8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16h00 – 16h30</w:t>
            </w:r>
          </w:p>
        </w:tc>
        <w:tc>
          <w:tcPr>
            <w:tcW w:w="7207" w:type="dxa"/>
          </w:tcPr>
          <w:p w14:paraId="6053C936" w14:textId="77777777" w:rsidR="002C57CD" w:rsidRPr="00A30722" w:rsidRDefault="002C57CD" w:rsidP="00A30722">
            <w:pPr>
              <w:spacing w:before="80" w:after="80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Closing Segment</w:t>
            </w:r>
          </w:p>
          <w:p w14:paraId="095B0226" w14:textId="77777777" w:rsidR="002C57CD" w:rsidRPr="00A30722" w:rsidRDefault="002C57CD" w:rsidP="00A30722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A30722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Q&amp;A and Follow-Up Steps</w:t>
            </w:r>
          </w:p>
        </w:tc>
      </w:tr>
    </w:tbl>
    <w:p w14:paraId="6BD8AE20" w14:textId="77777777" w:rsidR="002C57CD" w:rsidRPr="00671577" w:rsidRDefault="002C57CD" w:rsidP="00671577">
      <w:pPr>
        <w:jc w:val="both"/>
        <w:textAlignment w:val="baseline"/>
        <w:rPr>
          <w:rFonts w:ascii="Arial" w:eastAsia="Times New Roman" w:hAnsi="Arial" w:cs="Arial"/>
          <w:szCs w:val="20"/>
          <w:lang w:eastAsia="en-GB"/>
          <w14:ligatures w14:val="none"/>
        </w:rPr>
      </w:pPr>
    </w:p>
    <w:p w14:paraId="729CEBA5" w14:textId="77777777" w:rsidR="002C57CD" w:rsidRPr="004749EA" w:rsidRDefault="002C57CD" w:rsidP="004749EA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B0F0"/>
          <w:kern w:val="0"/>
          <w:lang w:eastAsia="en-GB"/>
          <w14:ligatures w14:val="none"/>
        </w:rPr>
      </w:pPr>
      <w:r w:rsidRPr="004749EA">
        <w:rPr>
          <w:rFonts w:ascii="Arial" w:eastAsia="Times New Roman" w:hAnsi="Arial" w:cs="Arial"/>
          <w:b/>
          <w:bCs/>
          <w:color w:val="00B0F0"/>
          <w:kern w:val="0"/>
          <w:lang w:eastAsia="en-GB"/>
          <w14:ligatures w14:val="none"/>
        </w:rPr>
        <w:t>Mode of Delivery</w:t>
      </w:r>
    </w:p>
    <w:p w14:paraId="09091A0C" w14:textId="7ED2B2FE" w:rsidR="002C57CD" w:rsidRPr="004749EA" w:rsidRDefault="002C57CD" w:rsidP="004749EA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</w:pPr>
      <w:r w:rsidRPr="004749E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Participants will be organized into groups during the breakout sessions for the purposes of facilitating open discussions on each of the sections of the Agreement. </w:t>
      </w:r>
      <w:r w:rsidR="00311215" w:rsidRPr="0091457E">
        <w:rPr>
          <w:rFonts w:ascii="Arial" w:eastAsia="Times New Roman" w:hAnsi="Arial" w:cs="Browallia New"/>
          <w:color w:val="000000" w:themeColor="text1"/>
          <w:sz w:val="20"/>
          <w:szCs w:val="25"/>
          <w:lang w:val="en-US" w:eastAsia="en-GB"/>
          <w14:ligatures w14:val="none"/>
        </w:rPr>
        <w:t xml:space="preserve">Each group will </w:t>
      </w:r>
      <w:r w:rsidR="001129B4">
        <w:rPr>
          <w:rFonts w:ascii="Arial" w:eastAsia="Times New Roman" w:hAnsi="Arial" w:cs="Browallia New"/>
          <w:color w:val="000000" w:themeColor="text1"/>
          <w:sz w:val="20"/>
          <w:szCs w:val="25"/>
          <w:lang w:val="en-US" w:eastAsia="en-GB"/>
          <w14:ligatures w14:val="none"/>
        </w:rPr>
        <w:t>assess</w:t>
      </w:r>
      <w:r w:rsidR="00311215" w:rsidRPr="0091457E">
        <w:rPr>
          <w:rFonts w:ascii="Arial" w:eastAsia="Times New Roman" w:hAnsi="Arial" w:cs="Browallia New"/>
          <w:color w:val="000000" w:themeColor="text1"/>
          <w:sz w:val="20"/>
          <w:szCs w:val="25"/>
          <w:lang w:val="en-US" w:eastAsia="en-GB"/>
          <w14:ligatures w14:val="none"/>
        </w:rPr>
        <w:t xml:space="preserve"> Barbados' </w:t>
      </w:r>
      <w:r w:rsidR="001129B4" w:rsidRPr="0091457E">
        <w:rPr>
          <w:rFonts w:ascii="Arial" w:eastAsia="Times New Roman" w:hAnsi="Arial" w:cs="Browallia New"/>
          <w:color w:val="000000" w:themeColor="text1"/>
          <w:sz w:val="20"/>
          <w:szCs w:val="25"/>
          <w:lang w:val="en-US" w:eastAsia="en-GB"/>
          <w14:ligatures w14:val="none"/>
        </w:rPr>
        <w:t xml:space="preserve">current </w:t>
      </w:r>
      <w:r w:rsidR="001129B4">
        <w:rPr>
          <w:rFonts w:ascii="Arial" w:eastAsia="Times New Roman" w:hAnsi="Arial" w:cs="Browallia New"/>
          <w:color w:val="000000" w:themeColor="text1"/>
          <w:sz w:val="20"/>
          <w:szCs w:val="25"/>
          <w:lang w:val="en-US" w:eastAsia="en-GB"/>
          <w14:ligatures w14:val="none"/>
        </w:rPr>
        <w:t>laws/legislations/</w:t>
      </w:r>
      <w:r w:rsidR="001129B4" w:rsidRPr="0091457E">
        <w:rPr>
          <w:rFonts w:ascii="Arial" w:eastAsia="Times New Roman" w:hAnsi="Arial" w:cs="Browallia New"/>
          <w:color w:val="000000" w:themeColor="text1"/>
          <w:sz w:val="20"/>
          <w:szCs w:val="25"/>
          <w:lang w:val="en-US" w:eastAsia="en-GB"/>
          <w14:ligatures w14:val="none"/>
        </w:rPr>
        <w:t>practice</w:t>
      </w:r>
      <w:r w:rsidR="001129B4">
        <w:rPr>
          <w:rFonts w:ascii="Arial" w:eastAsia="Times New Roman" w:hAnsi="Arial" w:cs="Browallia New"/>
          <w:color w:val="000000" w:themeColor="text1"/>
          <w:sz w:val="20"/>
          <w:szCs w:val="25"/>
          <w:lang w:val="en-US" w:eastAsia="en-GB"/>
          <w14:ligatures w14:val="none"/>
        </w:rPr>
        <w:t>s</w:t>
      </w:r>
      <w:r w:rsidR="001129B4" w:rsidRPr="0091457E">
        <w:rPr>
          <w:rFonts w:ascii="Arial" w:eastAsia="Times New Roman" w:hAnsi="Arial" w:cs="Browallia New"/>
          <w:color w:val="000000" w:themeColor="text1"/>
          <w:sz w:val="20"/>
          <w:szCs w:val="25"/>
          <w:lang w:val="en-US" w:eastAsia="en-GB"/>
          <w14:ligatures w14:val="none"/>
        </w:rPr>
        <w:t xml:space="preserve"> against the IFD Agreement provisions</w:t>
      </w:r>
      <w:r w:rsidR="00311215" w:rsidRPr="0091457E">
        <w:rPr>
          <w:rFonts w:ascii="Arial" w:eastAsia="Times New Roman" w:hAnsi="Arial" w:cs="Browallia New"/>
          <w:color w:val="000000" w:themeColor="text1"/>
          <w:sz w:val="20"/>
          <w:szCs w:val="25"/>
          <w:lang w:val="en-US" w:eastAsia="en-GB"/>
          <w14:ligatures w14:val="none"/>
        </w:rPr>
        <w:t xml:space="preserve">, identify the time and resources needed to </w:t>
      </w:r>
      <w:r w:rsidR="001129B4">
        <w:rPr>
          <w:rFonts w:ascii="Arial" w:eastAsia="Times New Roman" w:hAnsi="Arial" w:cs="Browallia New"/>
          <w:color w:val="000000" w:themeColor="text1"/>
          <w:sz w:val="20"/>
          <w:szCs w:val="25"/>
          <w:lang w:val="en-US" w:eastAsia="en-GB"/>
          <w14:ligatures w14:val="none"/>
        </w:rPr>
        <w:t>address any gaps</w:t>
      </w:r>
      <w:r w:rsidR="00311215">
        <w:rPr>
          <w:rFonts w:ascii="Arial" w:eastAsia="Times New Roman" w:hAnsi="Arial" w:cs="Browallia New"/>
          <w:color w:val="000000" w:themeColor="text1"/>
          <w:sz w:val="20"/>
          <w:szCs w:val="25"/>
          <w:lang w:val="en-US" w:eastAsia="en-GB"/>
          <w14:ligatures w14:val="none"/>
        </w:rPr>
        <w:t xml:space="preserve">, and </w:t>
      </w:r>
      <w:r w:rsidR="00311215" w:rsidRPr="009E1D97">
        <w:rPr>
          <w:rFonts w:ascii="Arial" w:eastAsia="Times New Roman" w:hAnsi="Arial" w:cs="Browallia New"/>
          <w:color w:val="000000" w:themeColor="text1"/>
          <w:sz w:val="20"/>
          <w:szCs w:val="25"/>
          <w:lang w:val="en-US" w:eastAsia="en-GB"/>
          <w14:ligatures w14:val="none"/>
        </w:rPr>
        <w:t>develop a consensus-based roadmap</w:t>
      </w:r>
      <w:r w:rsidR="001129B4">
        <w:rPr>
          <w:rFonts w:ascii="Arial" w:eastAsia="Times New Roman" w:hAnsi="Arial" w:cs="Browallia New"/>
          <w:color w:val="000000" w:themeColor="text1"/>
          <w:sz w:val="20"/>
          <w:szCs w:val="25"/>
          <w:lang w:val="en-US" w:eastAsia="en-GB"/>
          <w14:ligatures w14:val="none"/>
        </w:rPr>
        <w:t xml:space="preserve"> for the future implementation</w:t>
      </w:r>
      <w:r w:rsidR="00311215" w:rsidRPr="0091457E">
        <w:rPr>
          <w:rFonts w:ascii="Arial" w:eastAsia="Times New Roman" w:hAnsi="Arial" w:cs="Browallia New"/>
          <w:color w:val="000000" w:themeColor="text1"/>
          <w:sz w:val="20"/>
          <w:szCs w:val="25"/>
          <w:lang w:val="en-US" w:eastAsia="en-GB"/>
          <w14:ligatures w14:val="none"/>
        </w:rPr>
        <w:t>. Each group will select a team leader and rapporteur to facilitate the process.</w:t>
      </w:r>
    </w:p>
    <w:p w14:paraId="3D38F0A3" w14:textId="77777777" w:rsidR="002C57CD" w:rsidRPr="004749EA" w:rsidRDefault="002C57CD" w:rsidP="004749EA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</w:pPr>
      <w:r w:rsidRPr="004749E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Participants are requested to be present across the duration of the programme – to ensure that all relevant agencies are effectively represented throughout the information collection process. </w:t>
      </w:r>
    </w:p>
    <w:p w14:paraId="4C74727C" w14:textId="4E54928B" w:rsidR="002C57CD" w:rsidRPr="004749EA" w:rsidRDefault="002C57CD" w:rsidP="004749EA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</w:pPr>
      <w:r w:rsidRPr="004749E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The WTO </w:t>
      </w:r>
      <w:r w:rsidR="0075066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Investment Facilitation </w:t>
      </w:r>
      <w:r w:rsidRPr="004749E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Needs Assessment Guide will be circulated to participants ahead of the programme - to enable preparation and allow for constructive discussions during the breakout sessions. </w:t>
      </w:r>
      <w:r w:rsidR="006715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All participants are </w:t>
      </w:r>
      <w:r w:rsidRPr="004749E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>kindly request</w:t>
      </w:r>
      <w:r w:rsidR="006715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>ed</w:t>
      </w:r>
      <w:r w:rsidRPr="004749E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ligatures w14:val="none"/>
        </w:rPr>
        <w:t xml:space="preserve"> to review and prepare accordingly for these discussions, so that the breakout sessions are as constructive and informative as possible. </w:t>
      </w:r>
    </w:p>
    <w:p w14:paraId="76AA9073" w14:textId="77777777" w:rsidR="004A6B26" w:rsidRPr="0091457E" w:rsidRDefault="004A6B26" w:rsidP="003511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  <w:cs/>
          <w:lang w:val="en-US" w:bidi="th-TH"/>
        </w:rPr>
      </w:pPr>
    </w:p>
    <w:p w14:paraId="769BB6D9" w14:textId="77777777" w:rsidR="004A6B26" w:rsidRDefault="004A6B26" w:rsidP="003511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2E570C54" w14:textId="78A8B40A" w:rsidR="004A6B26" w:rsidRDefault="004A6B26" w:rsidP="004A6B2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___________________</w:t>
      </w:r>
      <w:r w:rsidR="000B226E">
        <w:rPr>
          <w:rStyle w:val="normaltextrun"/>
          <w:rFonts w:ascii="Arial" w:eastAsiaTheme="majorEastAsia" w:hAnsi="Arial" w:cs="Arial"/>
          <w:sz w:val="20"/>
          <w:szCs w:val="20"/>
        </w:rPr>
        <w:t>____</w:t>
      </w:r>
    </w:p>
    <w:sectPr w:rsidR="004A6B26" w:rsidSect="002C57CD">
      <w:head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992A" w14:textId="77777777" w:rsidR="00C00F7C" w:rsidRDefault="00C00F7C" w:rsidP="00E85086">
      <w:pPr>
        <w:spacing w:after="0" w:line="240" w:lineRule="auto"/>
      </w:pPr>
      <w:r>
        <w:separator/>
      </w:r>
    </w:p>
  </w:endnote>
  <w:endnote w:type="continuationSeparator" w:id="0">
    <w:p w14:paraId="6ADCEBB1" w14:textId="77777777" w:rsidR="00C00F7C" w:rsidRDefault="00C00F7C" w:rsidP="00E8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F32D" w14:textId="77777777" w:rsidR="00C00F7C" w:rsidRDefault="00C00F7C" w:rsidP="00E85086">
      <w:pPr>
        <w:spacing w:after="0" w:line="240" w:lineRule="auto"/>
      </w:pPr>
      <w:r>
        <w:separator/>
      </w:r>
    </w:p>
  </w:footnote>
  <w:footnote w:type="continuationSeparator" w:id="0">
    <w:p w14:paraId="573F0513" w14:textId="77777777" w:rsidR="00C00F7C" w:rsidRDefault="00C00F7C" w:rsidP="00E85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5F5B" w14:textId="71622C47" w:rsidR="00DF7086" w:rsidRDefault="00DF7086">
    <w:pPr>
      <w:pStyle w:val="Header"/>
    </w:pPr>
    <w:r w:rsidRPr="002E6B23">
      <w:rPr>
        <w:noProof/>
        <w:sz w:val="20"/>
        <w:lang w:val="en-US" w:bidi="ar-SA"/>
      </w:rPr>
      <w:t xml:space="preserve"> </w:t>
    </w:r>
    <w:r w:rsidRPr="00FC4287">
      <w:rPr>
        <w:rFonts w:ascii="Arial" w:hAnsi="Arial" w:cs="Arial"/>
        <w:noProof/>
        <w:color w:val="00B0F0"/>
        <w:lang w:val="en-US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23"/>
    <w:multiLevelType w:val="hybridMultilevel"/>
    <w:tmpl w:val="95E262F8"/>
    <w:lvl w:ilvl="0" w:tplc="DDBAA3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5EB4"/>
    <w:multiLevelType w:val="hybridMultilevel"/>
    <w:tmpl w:val="F9CE076E"/>
    <w:lvl w:ilvl="0" w:tplc="08061A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CBE"/>
    <w:multiLevelType w:val="hybridMultilevel"/>
    <w:tmpl w:val="AA1A3796"/>
    <w:lvl w:ilvl="0" w:tplc="B666F46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1D7E"/>
    <w:multiLevelType w:val="hybridMultilevel"/>
    <w:tmpl w:val="24DC7B88"/>
    <w:lvl w:ilvl="0" w:tplc="74D203D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E253D8"/>
    <w:multiLevelType w:val="hybridMultilevel"/>
    <w:tmpl w:val="E3CE01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3D7A"/>
    <w:multiLevelType w:val="hybridMultilevel"/>
    <w:tmpl w:val="8446FABC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F2475"/>
    <w:multiLevelType w:val="hybridMultilevel"/>
    <w:tmpl w:val="86421366"/>
    <w:lvl w:ilvl="0" w:tplc="0810AC1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40C57"/>
    <w:multiLevelType w:val="hybridMultilevel"/>
    <w:tmpl w:val="90CA3760"/>
    <w:lvl w:ilvl="0" w:tplc="ECD6889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16524"/>
    <w:multiLevelType w:val="hybridMultilevel"/>
    <w:tmpl w:val="713A1CE0"/>
    <w:lvl w:ilvl="0" w:tplc="46B84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42BF3"/>
    <w:multiLevelType w:val="hybridMultilevel"/>
    <w:tmpl w:val="DA3CD8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394A8A"/>
    <w:multiLevelType w:val="hybridMultilevel"/>
    <w:tmpl w:val="94FE4EC4"/>
    <w:lvl w:ilvl="0" w:tplc="BAE21B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F63D1"/>
    <w:multiLevelType w:val="hybridMultilevel"/>
    <w:tmpl w:val="4F0E22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E94015"/>
    <w:multiLevelType w:val="hybridMultilevel"/>
    <w:tmpl w:val="310C1B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11B3F7C"/>
    <w:multiLevelType w:val="hybridMultilevel"/>
    <w:tmpl w:val="29621DF6"/>
    <w:lvl w:ilvl="0" w:tplc="B666F46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345CC"/>
    <w:multiLevelType w:val="hybridMultilevel"/>
    <w:tmpl w:val="28DE34D6"/>
    <w:lvl w:ilvl="0" w:tplc="A7F8859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02D0C"/>
    <w:multiLevelType w:val="hybridMultilevel"/>
    <w:tmpl w:val="1C0C5A7A"/>
    <w:lvl w:ilvl="0" w:tplc="68A273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E3A8B"/>
    <w:multiLevelType w:val="hybridMultilevel"/>
    <w:tmpl w:val="FD0675BA"/>
    <w:lvl w:ilvl="0" w:tplc="04B87F2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120BE"/>
    <w:multiLevelType w:val="hybridMultilevel"/>
    <w:tmpl w:val="C39E2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535093">
    <w:abstractNumId w:val="3"/>
  </w:num>
  <w:num w:numId="2" w16cid:durableId="1752316205">
    <w:abstractNumId w:val="0"/>
  </w:num>
  <w:num w:numId="3" w16cid:durableId="1206871944">
    <w:abstractNumId w:val="14"/>
  </w:num>
  <w:num w:numId="4" w16cid:durableId="1244294930">
    <w:abstractNumId w:val="13"/>
  </w:num>
  <w:num w:numId="5" w16cid:durableId="540553988">
    <w:abstractNumId w:val="2"/>
  </w:num>
  <w:num w:numId="6" w16cid:durableId="1427534848">
    <w:abstractNumId w:val="8"/>
  </w:num>
  <w:num w:numId="7" w16cid:durableId="1390033879">
    <w:abstractNumId w:val="15"/>
  </w:num>
  <w:num w:numId="8" w16cid:durableId="1037048386">
    <w:abstractNumId w:val="1"/>
  </w:num>
  <w:num w:numId="9" w16cid:durableId="1248419847">
    <w:abstractNumId w:val="4"/>
  </w:num>
  <w:num w:numId="10" w16cid:durableId="399451679">
    <w:abstractNumId w:val="10"/>
  </w:num>
  <w:num w:numId="11" w16cid:durableId="1617441026">
    <w:abstractNumId w:val="11"/>
  </w:num>
  <w:num w:numId="12" w16cid:durableId="672222282">
    <w:abstractNumId w:val="6"/>
  </w:num>
  <w:num w:numId="13" w16cid:durableId="1581520339">
    <w:abstractNumId w:val="16"/>
  </w:num>
  <w:num w:numId="14" w16cid:durableId="1997879545">
    <w:abstractNumId w:val="7"/>
  </w:num>
  <w:num w:numId="15" w16cid:durableId="78672662">
    <w:abstractNumId w:val="5"/>
  </w:num>
  <w:num w:numId="16" w16cid:durableId="6488438">
    <w:abstractNumId w:val="9"/>
  </w:num>
  <w:num w:numId="17" w16cid:durableId="427196270">
    <w:abstractNumId w:val="12"/>
  </w:num>
  <w:num w:numId="18" w16cid:durableId="6699124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D6"/>
    <w:rsid w:val="00004501"/>
    <w:rsid w:val="00010702"/>
    <w:rsid w:val="000165F5"/>
    <w:rsid w:val="00016AE4"/>
    <w:rsid w:val="00016B2F"/>
    <w:rsid w:val="00025FD3"/>
    <w:rsid w:val="000316D4"/>
    <w:rsid w:val="0004663F"/>
    <w:rsid w:val="0005297A"/>
    <w:rsid w:val="00083BB7"/>
    <w:rsid w:val="00083C64"/>
    <w:rsid w:val="00085BC7"/>
    <w:rsid w:val="0009084C"/>
    <w:rsid w:val="000908C0"/>
    <w:rsid w:val="00094ACE"/>
    <w:rsid w:val="00094B27"/>
    <w:rsid w:val="00096175"/>
    <w:rsid w:val="00097424"/>
    <w:rsid w:val="000A0F51"/>
    <w:rsid w:val="000A1EED"/>
    <w:rsid w:val="000A4BF0"/>
    <w:rsid w:val="000A7B76"/>
    <w:rsid w:val="000B1324"/>
    <w:rsid w:val="000B226E"/>
    <w:rsid w:val="000B6A43"/>
    <w:rsid w:val="000D43C1"/>
    <w:rsid w:val="000E17A7"/>
    <w:rsid w:val="000F11AE"/>
    <w:rsid w:val="00103B49"/>
    <w:rsid w:val="00105755"/>
    <w:rsid w:val="001129B4"/>
    <w:rsid w:val="00115EBA"/>
    <w:rsid w:val="001264DF"/>
    <w:rsid w:val="00133BE9"/>
    <w:rsid w:val="00141B41"/>
    <w:rsid w:val="001624AD"/>
    <w:rsid w:val="001706E2"/>
    <w:rsid w:val="0017544D"/>
    <w:rsid w:val="00176F44"/>
    <w:rsid w:val="00177F13"/>
    <w:rsid w:val="0018052C"/>
    <w:rsid w:val="00180B27"/>
    <w:rsid w:val="0018690D"/>
    <w:rsid w:val="001A0AFB"/>
    <w:rsid w:val="001A0D2B"/>
    <w:rsid w:val="001A318B"/>
    <w:rsid w:val="001C03DB"/>
    <w:rsid w:val="001C1979"/>
    <w:rsid w:val="001C4F8F"/>
    <w:rsid w:val="001C7BAC"/>
    <w:rsid w:val="001E2431"/>
    <w:rsid w:val="001F5EC4"/>
    <w:rsid w:val="00200EAC"/>
    <w:rsid w:val="00205ADA"/>
    <w:rsid w:val="0021072F"/>
    <w:rsid w:val="00214B81"/>
    <w:rsid w:val="00233CDF"/>
    <w:rsid w:val="002412C7"/>
    <w:rsid w:val="00247528"/>
    <w:rsid w:val="00255F02"/>
    <w:rsid w:val="00263534"/>
    <w:rsid w:val="00277F11"/>
    <w:rsid w:val="002812F0"/>
    <w:rsid w:val="00281F41"/>
    <w:rsid w:val="00293C86"/>
    <w:rsid w:val="002B2BF2"/>
    <w:rsid w:val="002B2ED6"/>
    <w:rsid w:val="002B4E39"/>
    <w:rsid w:val="002C4D49"/>
    <w:rsid w:val="002C57CD"/>
    <w:rsid w:val="002D0D89"/>
    <w:rsid w:val="002E0F6E"/>
    <w:rsid w:val="002E66C0"/>
    <w:rsid w:val="00300EB5"/>
    <w:rsid w:val="00311215"/>
    <w:rsid w:val="003248CD"/>
    <w:rsid w:val="003308CE"/>
    <w:rsid w:val="00341A75"/>
    <w:rsid w:val="00342CDE"/>
    <w:rsid w:val="00344E10"/>
    <w:rsid w:val="00346C4F"/>
    <w:rsid w:val="003511EC"/>
    <w:rsid w:val="00352960"/>
    <w:rsid w:val="00373E6B"/>
    <w:rsid w:val="00380360"/>
    <w:rsid w:val="0038235B"/>
    <w:rsid w:val="00383BA8"/>
    <w:rsid w:val="00384850"/>
    <w:rsid w:val="0039269C"/>
    <w:rsid w:val="003933BB"/>
    <w:rsid w:val="003B42B9"/>
    <w:rsid w:val="003C37DF"/>
    <w:rsid w:val="003C5A22"/>
    <w:rsid w:val="003D678D"/>
    <w:rsid w:val="003D70EE"/>
    <w:rsid w:val="003E3729"/>
    <w:rsid w:val="003E744B"/>
    <w:rsid w:val="003E7AA9"/>
    <w:rsid w:val="00404EBC"/>
    <w:rsid w:val="00416BE7"/>
    <w:rsid w:val="004219CD"/>
    <w:rsid w:val="00422715"/>
    <w:rsid w:val="0043306B"/>
    <w:rsid w:val="004372BA"/>
    <w:rsid w:val="004453F7"/>
    <w:rsid w:val="00447607"/>
    <w:rsid w:val="004577E8"/>
    <w:rsid w:val="00464AD4"/>
    <w:rsid w:val="00472366"/>
    <w:rsid w:val="0047483C"/>
    <w:rsid w:val="004749EA"/>
    <w:rsid w:val="004838D6"/>
    <w:rsid w:val="004A59B9"/>
    <w:rsid w:val="004A6B26"/>
    <w:rsid w:val="004B23DE"/>
    <w:rsid w:val="004B2D9C"/>
    <w:rsid w:val="004B4A8B"/>
    <w:rsid w:val="004B572F"/>
    <w:rsid w:val="004C6F0B"/>
    <w:rsid w:val="004E15A6"/>
    <w:rsid w:val="004F7EE2"/>
    <w:rsid w:val="005003EA"/>
    <w:rsid w:val="00513353"/>
    <w:rsid w:val="0051360F"/>
    <w:rsid w:val="00516DDD"/>
    <w:rsid w:val="00530721"/>
    <w:rsid w:val="00540F68"/>
    <w:rsid w:val="00551CD7"/>
    <w:rsid w:val="005539E3"/>
    <w:rsid w:val="005736B1"/>
    <w:rsid w:val="00577C30"/>
    <w:rsid w:val="0059157C"/>
    <w:rsid w:val="00591CA0"/>
    <w:rsid w:val="005956AC"/>
    <w:rsid w:val="00596B85"/>
    <w:rsid w:val="005B14AB"/>
    <w:rsid w:val="005B365E"/>
    <w:rsid w:val="005B3B79"/>
    <w:rsid w:val="005B706B"/>
    <w:rsid w:val="005C1231"/>
    <w:rsid w:val="005C2D02"/>
    <w:rsid w:val="005D6284"/>
    <w:rsid w:val="005E28B0"/>
    <w:rsid w:val="005F4717"/>
    <w:rsid w:val="00622FDB"/>
    <w:rsid w:val="006331F4"/>
    <w:rsid w:val="00644123"/>
    <w:rsid w:val="006469D6"/>
    <w:rsid w:val="00652D5E"/>
    <w:rsid w:val="00662C9F"/>
    <w:rsid w:val="00671577"/>
    <w:rsid w:val="0067768B"/>
    <w:rsid w:val="0069470B"/>
    <w:rsid w:val="00694B6B"/>
    <w:rsid w:val="006950A1"/>
    <w:rsid w:val="006A2AEA"/>
    <w:rsid w:val="006A5E8B"/>
    <w:rsid w:val="006B54C6"/>
    <w:rsid w:val="006C4436"/>
    <w:rsid w:val="006C6728"/>
    <w:rsid w:val="006D5F97"/>
    <w:rsid w:val="006F1D0E"/>
    <w:rsid w:val="006F6C7F"/>
    <w:rsid w:val="007058DB"/>
    <w:rsid w:val="007170BC"/>
    <w:rsid w:val="00730A4E"/>
    <w:rsid w:val="00732E55"/>
    <w:rsid w:val="0073355C"/>
    <w:rsid w:val="007413C4"/>
    <w:rsid w:val="0074608A"/>
    <w:rsid w:val="0075066F"/>
    <w:rsid w:val="00756DF1"/>
    <w:rsid w:val="0076014D"/>
    <w:rsid w:val="00771AC5"/>
    <w:rsid w:val="00771FE8"/>
    <w:rsid w:val="00773BA4"/>
    <w:rsid w:val="00776CE9"/>
    <w:rsid w:val="0078213A"/>
    <w:rsid w:val="00791D6D"/>
    <w:rsid w:val="00792546"/>
    <w:rsid w:val="00793F11"/>
    <w:rsid w:val="007A02C6"/>
    <w:rsid w:val="007A767C"/>
    <w:rsid w:val="007B4361"/>
    <w:rsid w:val="007B5CB0"/>
    <w:rsid w:val="007B690B"/>
    <w:rsid w:val="007F5E27"/>
    <w:rsid w:val="00815A66"/>
    <w:rsid w:val="008268FF"/>
    <w:rsid w:val="00830890"/>
    <w:rsid w:val="008451AC"/>
    <w:rsid w:val="008505FA"/>
    <w:rsid w:val="00851764"/>
    <w:rsid w:val="0088082F"/>
    <w:rsid w:val="008A5C5C"/>
    <w:rsid w:val="008B0AF8"/>
    <w:rsid w:val="008B1E00"/>
    <w:rsid w:val="008C090B"/>
    <w:rsid w:val="008C130D"/>
    <w:rsid w:val="008C5A26"/>
    <w:rsid w:val="008C7E98"/>
    <w:rsid w:val="008E2D45"/>
    <w:rsid w:val="008E5E17"/>
    <w:rsid w:val="00904F14"/>
    <w:rsid w:val="00912A3B"/>
    <w:rsid w:val="0091457E"/>
    <w:rsid w:val="00924BFA"/>
    <w:rsid w:val="009255E2"/>
    <w:rsid w:val="00926502"/>
    <w:rsid w:val="009329D4"/>
    <w:rsid w:val="00951972"/>
    <w:rsid w:val="00957AA0"/>
    <w:rsid w:val="0096433D"/>
    <w:rsid w:val="00965DDA"/>
    <w:rsid w:val="00967E45"/>
    <w:rsid w:val="00975F15"/>
    <w:rsid w:val="0098169F"/>
    <w:rsid w:val="00984725"/>
    <w:rsid w:val="00986C3C"/>
    <w:rsid w:val="009A32DE"/>
    <w:rsid w:val="009B00DE"/>
    <w:rsid w:val="009D2826"/>
    <w:rsid w:val="009E1452"/>
    <w:rsid w:val="009F52F5"/>
    <w:rsid w:val="00A13C22"/>
    <w:rsid w:val="00A1480F"/>
    <w:rsid w:val="00A16B72"/>
    <w:rsid w:val="00A2052E"/>
    <w:rsid w:val="00A224AC"/>
    <w:rsid w:val="00A24666"/>
    <w:rsid w:val="00A30722"/>
    <w:rsid w:val="00A34708"/>
    <w:rsid w:val="00A5228E"/>
    <w:rsid w:val="00A535CB"/>
    <w:rsid w:val="00A54093"/>
    <w:rsid w:val="00A70544"/>
    <w:rsid w:val="00A719C6"/>
    <w:rsid w:val="00A77284"/>
    <w:rsid w:val="00A82327"/>
    <w:rsid w:val="00A9070E"/>
    <w:rsid w:val="00AA42FA"/>
    <w:rsid w:val="00AB1711"/>
    <w:rsid w:val="00AB6C9C"/>
    <w:rsid w:val="00AB7735"/>
    <w:rsid w:val="00AC59D8"/>
    <w:rsid w:val="00AE3427"/>
    <w:rsid w:val="00B02EDE"/>
    <w:rsid w:val="00B05B6D"/>
    <w:rsid w:val="00B05D71"/>
    <w:rsid w:val="00B20804"/>
    <w:rsid w:val="00B3504C"/>
    <w:rsid w:val="00B429BD"/>
    <w:rsid w:val="00B47690"/>
    <w:rsid w:val="00B54C7F"/>
    <w:rsid w:val="00B64773"/>
    <w:rsid w:val="00B71DCB"/>
    <w:rsid w:val="00B86DEE"/>
    <w:rsid w:val="00BA1455"/>
    <w:rsid w:val="00BA420B"/>
    <w:rsid w:val="00C00F7C"/>
    <w:rsid w:val="00C01EDB"/>
    <w:rsid w:val="00C050F0"/>
    <w:rsid w:val="00C1491B"/>
    <w:rsid w:val="00C23046"/>
    <w:rsid w:val="00C23BCF"/>
    <w:rsid w:val="00C74B30"/>
    <w:rsid w:val="00C7787A"/>
    <w:rsid w:val="00C87ECD"/>
    <w:rsid w:val="00CA6E7D"/>
    <w:rsid w:val="00CA7EA6"/>
    <w:rsid w:val="00CD5D60"/>
    <w:rsid w:val="00CE5FE3"/>
    <w:rsid w:val="00CE76A1"/>
    <w:rsid w:val="00CF31FC"/>
    <w:rsid w:val="00CF413F"/>
    <w:rsid w:val="00D179C3"/>
    <w:rsid w:val="00D31E4F"/>
    <w:rsid w:val="00D46281"/>
    <w:rsid w:val="00D5258A"/>
    <w:rsid w:val="00D72504"/>
    <w:rsid w:val="00D743E1"/>
    <w:rsid w:val="00D74FE8"/>
    <w:rsid w:val="00D76AA5"/>
    <w:rsid w:val="00D91255"/>
    <w:rsid w:val="00DA276F"/>
    <w:rsid w:val="00DA7CAC"/>
    <w:rsid w:val="00DC0C1F"/>
    <w:rsid w:val="00DD28F7"/>
    <w:rsid w:val="00DE2617"/>
    <w:rsid w:val="00DE2849"/>
    <w:rsid w:val="00DF00F4"/>
    <w:rsid w:val="00DF4CAF"/>
    <w:rsid w:val="00DF55C0"/>
    <w:rsid w:val="00DF6AEC"/>
    <w:rsid w:val="00DF7086"/>
    <w:rsid w:val="00E0111E"/>
    <w:rsid w:val="00E046F8"/>
    <w:rsid w:val="00E05F9D"/>
    <w:rsid w:val="00E17DE9"/>
    <w:rsid w:val="00E23BE2"/>
    <w:rsid w:val="00E269F4"/>
    <w:rsid w:val="00E26E12"/>
    <w:rsid w:val="00E325C7"/>
    <w:rsid w:val="00E417B1"/>
    <w:rsid w:val="00E43657"/>
    <w:rsid w:val="00E44507"/>
    <w:rsid w:val="00E4465D"/>
    <w:rsid w:val="00E57E5E"/>
    <w:rsid w:val="00E606F4"/>
    <w:rsid w:val="00E85086"/>
    <w:rsid w:val="00E92DF0"/>
    <w:rsid w:val="00E941EE"/>
    <w:rsid w:val="00E94F70"/>
    <w:rsid w:val="00EB6259"/>
    <w:rsid w:val="00EB6827"/>
    <w:rsid w:val="00EC4EA5"/>
    <w:rsid w:val="00ED66A3"/>
    <w:rsid w:val="00EE1E50"/>
    <w:rsid w:val="00EE583A"/>
    <w:rsid w:val="00F278B8"/>
    <w:rsid w:val="00F31A57"/>
    <w:rsid w:val="00F474F1"/>
    <w:rsid w:val="00F50E88"/>
    <w:rsid w:val="00F524B1"/>
    <w:rsid w:val="00F610E8"/>
    <w:rsid w:val="00F66EC6"/>
    <w:rsid w:val="00F67E86"/>
    <w:rsid w:val="00F96E42"/>
    <w:rsid w:val="00FB5E27"/>
    <w:rsid w:val="00FB71EB"/>
    <w:rsid w:val="00FC3024"/>
    <w:rsid w:val="00FC3793"/>
    <w:rsid w:val="00FC4287"/>
    <w:rsid w:val="00FE6A4D"/>
    <w:rsid w:val="00FF0D20"/>
    <w:rsid w:val="00FF5E30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A3FC"/>
  <w15:chartTrackingRefBased/>
  <w15:docId w15:val="{1033667F-A0E0-AF4D-9FBC-BFDC7413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30"/>
        <w:lang w:val="en-GB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9D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9D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9D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469D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469D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46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9D6"/>
    <w:rPr>
      <w:rFonts w:cs="Angsana New"/>
      <w:i/>
      <w:iCs/>
      <w:color w:val="404040" w:themeColor="text1" w:themeTint="BF"/>
    </w:rPr>
  </w:style>
  <w:style w:type="paragraph" w:styleId="ListParagraph">
    <w:name w:val="List Paragraph"/>
    <w:aliases w:val="List Paragraph1,Recommendation,List Paragraph11,Bulleted Para,NFP GP Bulleted List,FooterText,numbered,Paragraphe de liste1,Bulletr List Paragraph,列出段落,列出段落1,List Paragraph2,List Paragraph21,Listeafsnit1,Parágrafo da Lista1,リスト段落1,L,Text"/>
    <w:basedOn w:val="Normal"/>
    <w:link w:val="ListParagraphChar"/>
    <w:uiPriority w:val="34"/>
    <w:qFormat/>
    <w:rsid w:val="00646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9D6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9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086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E8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086"/>
    <w:rPr>
      <w:rFonts w:cs="Angsana New"/>
    </w:rPr>
  </w:style>
  <w:style w:type="character" w:customStyle="1" w:styleId="EVENTTITLEChar">
    <w:name w:val="EVENT TITLE Char"/>
    <w:basedOn w:val="DefaultParagraphFont"/>
    <w:link w:val="EVENTTITLE"/>
    <w:locked/>
    <w:rsid w:val="00596B85"/>
    <w:rPr>
      <w:rFonts w:ascii="Arial" w:eastAsia="Calibri" w:hAnsi="Arial" w:cs="Arial"/>
      <w:caps/>
      <w:color w:val="00AEEF"/>
      <w:kern w:val="0"/>
      <w:sz w:val="34"/>
      <w:szCs w:val="34"/>
      <w:lang w:val="en-CA"/>
      <w14:ligatures w14:val="none"/>
    </w:rPr>
  </w:style>
  <w:style w:type="paragraph" w:customStyle="1" w:styleId="EVENTTITLE">
    <w:name w:val="EVENT TITLE"/>
    <w:basedOn w:val="Normal"/>
    <w:link w:val="EVENTTITLEChar"/>
    <w:qFormat/>
    <w:rsid w:val="00596B85"/>
    <w:pPr>
      <w:pBdr>
        <w:top w:val="single" w:sz="8" w:space="8" w:color="00AEEF"/>
        <w:bottom w:val="single" w:sz="8" w:space="8" w:color="00AEEF"/>
      </w:pBdr>
      <w:spacing w:after="0" w:line="240" w:lineRule="auto"/>
    </w:pPr>
    <w:rPr>
      <w:rFonts w:ascii="Arial" w:eastAsia="Calibri" w:hAnsi="Arial" w:cs="Arial"/>
      <w:caps/>
      <w:color w:val="00AEEF"/>
      <w:kern w:val="0"/>
      <w:sz w:val="34"/>
      <w:szCs w:val="34"/>
      <w:lang w:val="en-CA"/>
      <w14:ligatures w14:val="none"/>
    </w:rPr>
  </w:style>
  <w:style w:type="character" w:customStyle="1" w:styleId="eop">
    <w:name w:val="eop"/>
    <w:basedOn w:val="DefaultParagraphFont"/>
    <w:rsid w:val="00596B85"/>
  </w:style>
  <w:style w:type="character" w:customStyle="1" w:styleId="normaltextrun">
    <w:name w:val="normaltextrun"/>
    <w:basedOn w:val="DefaultParagraphFont"/>
    <w:rsid w:val="00596B85"/>
  </w:style>
  <w:style w:type="character" w:customStyle="1" w:styleId="ListParagraphChar">
    <w:name w:val="List Paragraph Char"/>
    <w:aliases w:val="List Paragraph1 Char,Recommendation Char,List Paragraph11 Char,Bulleted Para Char,NFP GP Bulleted List Char,FooterText Char,numbered Char,Paragraphe de liste1 Char,Bulletr List Paragraph Char,列出段落 Char,列出段落1 Char,List Paragraph2 Char"/>
    <w:link w:val="ListParagraph"/>
    <w:uiPriority w:val="34"/>
    <w:qFormat/>
    <w:locked/>
    <w:rsid w:val="005B706B"/>
    <w:rPr>
      <w:rFonts w:cs="Angsana New"/>
    </w:rPr>
  </w:style>
  <w:style w:type="table" w:styleId="TableGrid">
    <w:name w:val="Table Grid"/>
    <w:basedOn w:val="TableNormal"/>
    <w:uiPriority w:val="39"/>
    <w:rsid w:val="002B2ED6"/>
    <w:pPr>
      <w:spacing w:after="0" w:line="240" w:lineRule="auto"/>
    </w:pPr>
    <w:rPr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2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ED6"/>
    <w:pPr>
      <w:spacing w:line="240" w:lineRule="auto"/>
    </w:pPr>
    <w:rPr>
      <w:rFonts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ED6"/>
    <w:rPr>
      <w:sz w:val="20"/>
      <w:szCs w:val="20"/>
      <w:lang w:val="en-GB" w:bidi="ar-SA"/>
    </w:rPr>
  </w:style>
  <w:style w:type="paragraph" w:customStyle="1" w:styleId="pf0">
    <w:name w:val="pf0"/>
    <w:basedOn w:val="Normal"/>
    <w:rsid w:val="004F7EE2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kern w:val="0"/>
      <w:szCs w:val="24"/>
      <w:lang w:eastAsia="en-GB" w:bidi="ar-SA"/>
      <w14:ligatures w14:val="none"/>
    </w:rPr>
  </w:style>
  <w:style w:type="character" w:customStyle="1" w:styleId="cf01">
    <w:name w:val="cf01"/>
    <w:basedOn w:val="DefaultParagraphFont"/>
    <w:rsid w:val="004F7EE2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35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 w:bidi="ar-SA"/>
      <w14:ligatures w14:val="none"/>
    </w:rPr>
  </w:style>
  <w:style w:type="paragraph" w:styleId="Revision">
    <w:name w:val="Revision"/>
    <w:hidden/>
    <w:uiPriority w:val="99"/>
    <w:semiHidden/>
    <w:rsid w:val="00E23BE2"/>
    <w:pPr>
      <w:spacing w:after="0" w:line="240" w:lineRule="auto"/>
    </w:pPr>
    <w:rPr>
      <w:rFonts w:eastAsiaTheme="minorHAnsi" w:cs="Angsana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3C"/>
    <w:rPr>
      <w:rFonts w:cs="Angsana New"/>
      <w:b/>
      <w:bCs/>
      <w:szCs w:val="25"/>
      <w:lang w:bidi="th-T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3C"/>
    <w:rPr>
      <w:rFonts w:eastAsiaTheme="minorHAnsi" w:cs="Angsana New"/>
      <w:b/>
      <w:bCs/>
      <w:sz w:val="20"/>
      <w:szCs w:val="25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0F11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1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11A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27B26C-07B5-4645-912D-EF1039FA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Chuwankorn Sasanabanchakul</dc:creator>
  <cp:keywords/>
  <dc:description/>
  <cp:lastModifiedBy>Apaza Lanyi, Pamela</cp:lastModifiedBy>
  <cp:revision>2</cp:revision>
  <dcterms:created xsi:type="dcterms:W3CDTF">2025-01-17T10:51:00Z</dcterms:created>
  <dcterms:modified xsi:type="dcterms:W3CDTF">2025-01-17T10:51:00Z</dcterms:modified>
</cp:coreProperties>
</file>