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20782" w14:textId="5EB6AAB6" w:rsidR="00ED69D5" w:rsidRDefault="00ED69D5" w:rsidP="00ED69D5">
      <w:pPr>
        <w:jc w:val="center"/>
      </w:pPr>
      <w:r>
        <w:rPr>
          <w:rFonts w:ascii="Arial" w:hAnsi="Arial" w:cs="Arial"/>
          <w:b/>
          <w:noProof/>
          <w:sz w:val="20"/>
          <w:lang w:eastAsia="ko-KR"/>
        </w:rPr>
        <w:drawing>
          <wp:inline distT="0" distB="0" distL="0" distR="0" wp14:anchorId="7C96D652" wp14:editId="116EB231">
            <wp:extent cx="1473835" cy="1619250"/>
            <wp:effectExtent l="0" t="0" r="0" b="0"/>
            <wp:docPr id="7585998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835" cy="1619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FA7698" w14:textId="4ACA3D8E" w:rsidR="00ED69D5" w:rsidRDefault="006726CA" w:rsidP="00ED69D5">
      <w:pPr>
        <w:pStyle w:val="Title"/>
      </w:pPr>
      <w:r>
        <w:t>N</w:t>
      </w:r>
      <w:r w:rsidR="00ED69D5">
        <w:t>ational Workshop on Trade in Services</w:t>
      </w:r>
    </w:p>
    <w:p w14:paraId="0314CB7D" w14:textId="2556F183" w:rsidR="00ED69D5" w:rsidRDefault="00ED69D5" w:rsidP="00ED69D5">
      <w:pPr>
        <w:pStyle w:val="Title2"/>
      </w:pPr>
      <w:r>
        <w:t>Gaborone, Botswana</w:t>
      </w:r>
    </w:p>
    <w:p w14:paraId="37206FBE" w14:textId="7CE0ADC3" w:rsidR="00ED69D5" w:rsidRDefault="00ED69D5" w:rsidP="00ED69D5">
      <w:pPr>
        <w:pStyle w:val="Title2"/>
      </w:pPr>
      <w:r>
        <w:t>24-27 November 2026</w:t>
      </w:r>
    </w:p>
    <w:p w14:paraId="18AA4C5E" w14:textId="70757760" w:rsidR="00ED69D5" w:rsidRDefault="00ED69D5" w:rsidP="00ED69D5">
      <w:pPr>
        <w:pStyle w:val="Title3"/>
      </w:pPr>
      <w:r>
        <w:t>Programme outline</w:t>
      </w:r>
    </w:p>
    <w:p w14:paraId="2346DB79" w14:textId="77777777" w:rsidR="00ED69D5" w:rsidRDefault="00ED69D5" w:rsidP="00ED69D5">
      <w:pPr>
        <w:rPr>
          <w:lang w:eastAsia="en-GB"/>
        </w:rPr>
      </w:pPr>
    </w:p>
    <w:p w14:paraId="75C8E83C" w14:textId="09DE5624" w:rsidR="00ED69D5" w:rsidRPr="006726CA" w:rsidRDefault="00ED69D5" w:rsidP="00ED69D5">
      <w:pPr>
        <w:rPr>
          <w:b/>
          <w:bCs/>
          <w:u w:val="single"/>
          <w:lang w:eastAsia="en-GB"/>
        </w:rPr>
      </w:pPr>
      <w:r w:rsidRPr="006726CA">
        <w:rPr>
          <w:b/>
          <w:bCs/>
          <w:u w:val="single"/>
          <w:lang w:eastAsia="en-GB"/>
        </w:rPr>
        <w:t>Tuesday 24 November</w:t>
      </w:r>
      <w:r w:rsidR="006726CA">
        <w:rPr>
          <w:b/>
          <w:bCs/>
          <w:u w:val="single"/>
          <w:lang w:eastAsia="en-GB"/>
        </w:rPr>
        <w:t xml:space="preserve"> 2026</w:t>
      </w:r>
    </w:p>
    <w:p w14:paraId="72400726" w14:textId="77777777" w:rsidR="00ED69D5" w:rsidRDefault="00ED69D5" w:rsidP="00ED69D5">
      <w:pPr>
        <w:rPr>
          <w:u w:val="single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894"/>
      </w:tblGrid>
      <w:tr w:rsidR="006726CA" w14:paraId="354147D6" w14:textId="77777777" w:rsidTr="009C7F2A">
        <w:trPr>
          <w:trHeight w:val="4439"/>
        </w:trPr>
        <w:tc>
          <w:tcPr>
            <w:tcW w:w="2122" w:type="dxa"/>
          </w:tcPr>
          <w:p w14:paraId="2DAC60B8" w14:textId="2611E530" w:rsidR="006726CA" w:rsidRDefault="006726CA" w:rsidP="00ED69D5">
            <w:pPr>
              <w:rPr>
                <w:lang w:eastAsia="en-GB"/>
              </w:rPr>
            </w:pPr>
            <w:r>
              <w:rPr>
                <w:lang w:eastAsia="en-GB"/>
              </w:rPr>
              <w:t xml:space="preserve">Morning </w:t>
            </w:r>
          </w:p>
        </w:tc>
        <w:tc>
          <w:tcPr>
            <w:tcW w:w="6894" w:type="dxa"/>
          </w:tcPr>
          <w:p w14:paraId="2AE2E0C0" w14:textId="77777777" w:rsidR="006726CA" w:rsidRPr="00885649" w:rsidRDefault="006726CA" w:rsidP="00885649">
            <w:pPr>
              <w:rPr>
                <w:lang w:eastAsia="en-GB"/>
              </w:rPr>
            </w:pPr>
            <w:r w:rsidRPr="00885649">
              <w:rPr>
                <w:b/>
                <w:bCs/>
                <w:lang w:eastAsia="en-GB"/>
              </w:rPr>
              <w:t>Registration</w:t>
            </w:r>
          </w:p>
          <w:p w14:paraId="04F33115" w14:textId="77777777" w:rsidR="006726CA" w:rsidRDefault="006726CA" w:rsidP="00885649">
            <w:pPr>
              <w:rPr>
                <w:b/>
                <w:bCs/>
                <w:lang w:eastAsia="en-GB"/>
              </w:rPr>
            </w:pPr>
          </w:p>
          <w:p w14:paraId="1F78622C" w14:textId="685AF844" w:rsidR="006726CA" w:rsidRDefault="006726CA" w:rsidP="00885649">
            <w:pPr>
              <w:spacing w:after="120"/>
              <w:rPr>
                <w:b/>
                <w:bCs/>
                <w:lang w:eastAsia="en-GB"/>
              </w:rPr>
            </w:pPr>
            <w:r w:rsidRPr="00885649">
              <w:rPr>
                <w:b/>
                <w:bCs/>
                <w:lang w:eastAsia="en-GB"/>
              </w:rPr>
              <w:t>Opening Session</w:t>
            </w:r>
          </w:p>
          <w:p w14:paraId="5CD4E19E" w14:textId="4A12FC0C" w:rsidR="006726CA" w:rsidRPr="00885649" w:rsidRDefault="006726CA" w:rsidP="00885649">
            <w:pPr>
              <w:spacing w:after="120"/>
              <w:rPr>
                <w:lang w:eastAsia="en-GB"/>
              </w:rPr>
            </w:pPr>
            <w:r w:rsidRPr="00885649">
              <w:rPr>
                <w:lang w:eastAsia="en-GB"/>
              </w:rPr>
              <w:t>Welcome and opening remarks; introduction of participants; workshop objectives and programme.</w:t>
            </w:r>
          </w:p>
          <w:p w14:paraId="474C89CD" w14:textId="77777777" w:rsidR="006726CA" w:rsidRDefault="006726CA" w:rsidP="00885649">
            <w:pPr>
              <w:rPr>
                <w:b/>
                <w:bCs/>
                <w:lang w:eastAsia="en-GB"/>
              </w:rPr>
            </w:pPr>
          </w:p>
          <w:p w14:paraId="6AFA5647" w14:textId="77777777" w:rsidR="006726CA" w:rsidRDefault="006726CA" w:rsidP="00885649">
            <w:pPr>
              <w:rPr>
                <w:b/>
                <w:bCs/>
                <w:lang w:eastAsia="en-GB"/>
              </w:rPr>
            </w:pPr>
            <w:r w:rsidRPr="00885649">
              <w:rPr>
                <w:b/>
                <w:bCs/>
                <w:lang w:eastAsia="en-GB"/>
              </w:rPr>
              <w:t>Self-Assessment</w:t>
            </w:r>
            <w:r>
              <w:rPr>
                <w:b/>
                <w:bCs/>
                <w:lang w:eastAsia="en-GB"/>
              </w:rPr>
              <w:t xml:space="preserve"> T</w:t>
            </w:r>
            <w:r w:rsidRPr="00885649">
              <w:rPr>
                <w:b/>
                <w:bCs/>
                <w:lang w:eastAsia="en-GB"/>
              </w:rPr>
              <w:t>est</w:t>
            </w:r>
          </w:p>
          <w:p w14:paraId="6DE04941" w14:textId="20CCD7A8" w:rsidR="006726CA" w:rsidRPr="00885649" w:rsidRDefault="006726CA" w:rsidP="00885649">
            <w:pPr>
              <w:rPr>
                <w:lang w:eastAsia="en-GB"/>
              </w:rPr>
            </w:pPr>
          </w:p>
          <w:p w14:paraId="01FC9A57" w14:textId="77777777" w:rsidR="006726CA" w:rsidRDefault="006726CA" w:rsidP="00885649">
            <w:pPr>
              <w:spacing w:after="120"/>
              <w:rPr>
                <w:b/>
                <w:bCs/>
                <w:lang w:eastAsia="en-GB"/>
              </w:rPr>
            </w:pPr>
            <w:r w:rsidRPr="00885649">
              <w:rPr>
                <w:b/>
                <w:bCs/>
                <w:lang w:eastAsia="en-GB"/>
              </w:rPr>
              <w:t>The Changing Role of Services Trade in Growth and Development</w:t>
            </w:r>
          </w:p>
          <w:p w14:paraId="243BE085" w14:textId="46CEAE2C" w:rsidR="006726CA" w:rsidRDefault="006726CA" w:rsidP="00885649">
            <w:pPr>
              <w:spacing w:after="120"/>
              <w:rPr>
                <w:lang w:eastAsia="en-GB"/>
              </w:rPr>
            </w:pPr>
            <w:r w:rsidRPr="00885649">
              <w:rPr>
                <w:lang w:eastAsia="en-GB"/>
              </w:rPr>
              <w:t>Recent trends in services trade; services and economic diversification; digitally delivered services; services in value chains; relevance for Botswana’s trade and development strategy.</w:t>
            </w:r>
          </w:p>
          <w:p w14:paraId="042C0C48" w14:textId="303C7B8C" w:rsidR="006726CA" w:rsidRDefault="006726CA" w:rsidP="00885649">
            <w:pPr>
              <w:spacing w:after="120"/>
              <w:rPr>
                <w:b/>
                <w:bCs/>
                <w:lang w:eastAsia="en-GB"/>
              </w:rPr>
            </w:pPr>
            <w:r w:rsidRPr="00885649">
              <w:rPr>
                <w:b/>
                <w:bCs/>
                <w:lang w:eastAsia="en-GB"/>
              </w:rPr>
              <w:t xml:space="preserve">Review of the GATS </w:t>
            </w:r>
          </w:p>
          <w:p w14:paraId="199E8355" w14:textId="478897F3" w:rsidR="006726CA" w:rsidRPr="00885649" w:rsidRDefault="006726CA" w:rsidP="00885649">
            <w:pPr>
              <w:spacing w:after="120"/>
              <w:rPr>
                <w:lang w:eastAsia="en-GB"/>
              </w:rPr>
            </w:pPr>
            <w:r w:rsidRPr="00885649">
              <w:rPr>
                <w:lang w:eastAsia="en-GB"/>
              </w:rPr>
              <w:t>Architecture and scope of the GATS; modes of supply; MFN; transparency; domestic regulation; key exceptions; relationship between general obligations and specific commitments.</w:t>
            </w:r>
          </w:p>
          <w:p w14:paraId="490739CD" w14:textId="77777777" w:rsidR="006726CA" w:rsidRDefault="006726CA" w:rsidP="00885649">
            <w:pPr>
              <w:jc w:val="left"/>
              <w:rPr>
                <w:lang w:eastAsia="en-GB"/>
              </w:rPr>
            </w:pPr>
          </w:p>
        </w:tc>
      </w:tr>
      <w:tr w:rsidR="006726CA" w14:paraId="134AFFE2" w14:textId="77777777" w:rsidTr="00A17C22">
        <w:trPr>
          <w:trHeight w:val="3281"/>
        </w:trPr>
        <w:tc>
          <w:tcPr>
            <w:tcW w:w="2122" w:type="dxa"/>
          </w:tcPr>
          <w:p w14:paraId="1EB69A98" w14:textId="0F79B4FB" w:rsidR="006726CA" w:rsidRDefault="006726CA" w:rsidP="00ED69D5">
            <w:pPr>
              <w:rPr>
                <w:lang w:eastAsia="en-GB"/>
              </w:rPr>
            </w:pPr>
            <w:r>
              <w:rPr>
                <w:lang w:eastAsia="en-GB"/>
              </w:rPr>
              <w:t>Afternoon</w:t>
            </w:r>
          </w:p>
        </w:tc>
        <w:tc>
          <w:tcPr>
            <w:tcW w:w="6894" w:type="dxa"/>
          </w:tcPr>
          <w:p w14:paraId="4396257F" w14:textId="77777777" w:rsidR="006726CA" w:rsidRDefault="006726CA" w:rsidP="006726CA">
            <w:pPr>
              <w:spacing w:after="120"/>
              <w:rPr>
                <w:b/>
                <w:bCs/>
                <w:lang w:eastAsia="en-GB"/>
              </w:rPr>
            </w:pPr>
            <w:r w:rsidRPr="00885649">
              <w:rPr>
                <w:b/>
                <w:bCs/>
                <w:lang w:eastAsia="en-GB"/>
              </w:rPr>
              <w:t>Detailed Review of the GATS – Specific Commitments</w:t>
            </w:r>
            <w:r>
              <w:rPr>
                <w:b/>
                <w:bCs/>
                <w:lang w:eastAsia="en-GB"/>
              </w:rPr>
              <w:t xml:space="preserve"> </w:t>
            </w:r>
          </w:p>
          <w:p w14:paraId="72786553" w14:textId="1F98CA50" w:rsidR="006726CA" w:rsidRPr="00885649" w:rsidRDefault="006726CA" w:rsidP="006726CA">
            <w:pPr>
              <w:rPr>
                <w:lang w:eastAsia="en-GB"/>
              </w:rPr>
            </w:pPr>
            <w:r w:rsidRPr="00885649">
              <w:rPr>
                <w:lang w:eastAsia="en-GB"/>
              </w:rPr>
              <w:t>Market access, national treatment and additional commitments; horizontal and sector-specific commitments; relationship between scheduled commitments and the applicable regulatory regime.</w:t>
            </w:r>
          </w:p>
          <w:p w14:paraId="34E5A390" w14:textId="77777777" w:rsidR="006726CA" w:rsidRDefault="006726CA" w:rsidP="006726CA">
            <w:pPr>
              <w:rPr>
                <w:b/>
                <w:bCs/>
                <w:lang w:eastAsia="en-GB"/>
              </w:rPr>
            </w:pPr>
          </w:p>
          <w:p w14:paraId="5488C3FF" w14:textId="77777777" w:rsidR="006726CA" w:rsidRDefault="006726CA" w:rsidP="006726CA">
            <w:pPr>
              <w:spacing w:after="120"/>
              <w:rPr>
                <w:b/>
                <w:bCs/>
                <w:lang w:eastAsia="en-GB"/>
              </w:rPr>
            </w:pPr>
            <w:r w:rsidRPr="00885649">
              <w:rPr>
                <w:b/>
                <w:bCs/>
                <w:lang w:eastAsia="en-GB"/>
              </w:rPr>
              <w:t>Scheduling of Specific Commitments – Techniques and Common Pitfalls</w:t>
            </w:r>
          </w:p>
          <w:p w14:paraId="0FD4081B" w14:textId="16518457" w:rsidR="006726CA" w:rsidRDefault="006726CA" w:rsidP="006726CA">
            <w:pPr>
              <w:rPr>
                <w:lang w:eastAsia="en-GB"/>
              </w:rPr>
            </w:pPr>
            <w:r w:rsidRPr="00885649">
              <w:rPr>
                <w:lang w:eastAsia="en-GB"/>
              </w:rPr>
              <w:t>Services classification; structure of schedules; standard scheduling terminology; horizontal limitations; common scheduling mistakes and ambiguities.</w:t>
            </w:r>
          </w:p>
          <w:p w14:paraId="6832A4A9" w14:textId="77777777" w:rsidR="006726CA" w:rsidRPr="00885649" w:rsidRDefault="006726CA" w:rsidP="006726CA">
            <w:pPr>
              <w:rPr>
                <w:lang w:eastAsia="en-GB"/>
              </w:rPr>
            </w:pPr>
          </w:p>
          <w:p w14:paraId="51C8B1B3" w14:textId="77777777" w:rsidR="006726CA" w:rsidRDefault="006726CA" w:rsidP="006726CA">
            <w:pPr>
              <w:spacing w:after="120"/>
              <w:rPr>
                <w:b/>
                <w:bCs/>
                <w:lang w:eastAsia="en-GB"/>
              </w:rPr>
            </w:pPr>
            <w:r w:rsidRPr="00885649">
              <w:rPr>
                <w:b/>
                <w:bCs/>
                <w:lang w:eastAsia="en-GB"/>
              </w:rPr>
              <w:t>Review Quiz on the GATS and Scheduling</w:t>
            </w:r>
          </w:p>
          <w:p w14:paraId="5447BD76" w14:textId="323C63AD" w:rsidR="006726CA" w:rsidRPr="00885649" w:rsidRDefault="006726CA" w:rsidP="006726CA">
            <w:pPr>
              <w:spacing w:after="120"/>
              <w:rPr>
                <w:lang w:eastAsia="en-GB"/>
              </w:rPr>
            </w:pPr>
            <w:r w:rsidRPr="00885649">
              <w:rPr>
                <w:lang w:eastAsia="en-GB"/>
              </w:rPr>
              <w:t>Short quiz and discussion to consolidate the main concepts covered during Day 1 and prepare participants for the practical work on Day 2.</w:t>
            </w:r>
          </w:p>
          <w:p w14:paraId="5E558E90" w14:textId="77777777" w:rsidR="006726CA" w:rsidRDefault="006726CA" w:rsidP="00ED69D5">
            <w:pPr>
              <w:rPr>
                <w:lang w:eastAsia="en-GB"/>
              </w:rPr>
            </w:pPr>
          </w:p>
        </w:tc>
      </w:tr>
    </w:tbl>
    <w:p w14:paraId="03DE73AC" w14:textId="77777777" w:rsidR="006726CA" w:rsidRDefault="006726CA">
      <w:pPr>
        <w:spacing w:after="200" w:line="276" w:lineRule="auto"/>
        <w:jc w:val="left"/>
        <w:rPr>
          <w:lang w:eastAsia="en-GB"/>
        </w:rPr>
      </w:pPr>
      <w:r>
        <w:rPr>
          <w:lang w:eastAsia="en-GB"/>
        </w:rPr>
        <w:br w:type="page"/>
      </w:r>
    </w:p>
    <w:p w14:paraId="082BDC65" w14:textId="77777777" w:rsidR="00ED69D5" w:rsidRDefault="00ED69D5" w:rsidP="00ED69D5">
      <w:pPr>
        <w:rPr>
          <w:lang w:eastAsia="en-GB"/>
        </w:rPr>
      </w:pPr>
    </w:p>
    <w:p w14:paraId="7AA67135" w14:textId="6096B3AC" w:rsidR="006726CA" w:rsidRPr="006726CA" w:rsidRDefault="006726CA" w:rsidP="00ED69D5">
      <w:pPr>
        <w:rPr>
          <w:b/>
          <w:bCs/>
          <w:u w:val="single"/>
          <w:lang w:eastAsia="en-GB"/>
        </w:rPr>
      </w:pPr>
      <w:r w:rsidRPr="006726CA">
        <w:rPr>
          <w:b/>
          <w:bCs/>
          <w:u w:val="single"/>
          <w:lang w:eastAsia="en-GB"/>
        </w:rPr>
        <w:t>Wednesday</w:t>
      </w:r>
      <w:r w:rsidR="00A01A06">
        <w:rPr>
          <w:b/>
          <w:bCs/>
          <w:u w:val="single"/>
          <w:lang w:eastAsia="en-GB"/>
        </w:rPr>
        <w:t>,</w:t>
      </w:r>
      <w:r w:rsidRPr="006726CA">
        <w:rPr>
          <w:b/>
          <w:bCs/>
          <w:u w:val="single"/>
          <w:lang w:eastAsia="en-GB"/>
        </w:rPr>
        <w:t xml:space="preserve"> 25 November 2026</w:t>
      </w:r>
    </w:p>
    <w:p w14:paraId="02E2D40A" w14:textId="77777777" w:rsidR="006726CA" w:rsidRDefault="006726CA" w:rsidP="00ED69D5">
      <w:pPr>
        <w:rPr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894"/>
      </w:tblGrid>
      <w:tr w:rsidR="00A01A06" w14:paraId="28DEA7E0" w14:textId="77777777" w:rsidTr="0035176A">
        <w:trPr>
          <w:trHeight w:val="2406"/>
        </w:trPr>
        <w:tc>
          <w:tcPr>
            <w:tcW w:w="2122" w:type="dxa"/>
          </w:tcPr>
          <w:p w14:paraId="24C6EA43" w14:textId="77777777" w:rsidR="00A01A06" w:rsidRDefault="00A01A06" w:rsidP="008E1EDB">
            <w:pPr>
              <w:rPr>
                <w:lang w:eastAsia="en-GB"/>
              </w:rPr>
            </w:pPr>
            <w:r>
              <w:rPr>
                <w:lang w:eastAsia="en-GB"/>
              </w:rPr>
              <w:t xml:space="preserve">Morning </w:t>
            </w:r>
          </w:p>
        </w:tc>
        <w:tc>
          <w:tcPr>
            <w:tcW w:w="6894" w:type="dxa"/>
          </w:tcPr>
          <w:p w14:paraId="0FEBE4AF" w14:textId="4159FDA9" w:rsidR="00A01A06" w:rsidRDefault="00A01A06" w:rsidP="006726CA">
            <w:pPr>
              <w:rPr>
                <w:b/>
                <w:bCs/>
                <w:lang w:eastAsia="en-GB"/>
              </w:rPr>
            </w:pPr>
            <w:r w:rsidRPr="006726CA">
              <w:rPr>
                <w:b/>
                <w:bCs/>
                <w:lang w:eastAsia="en-GB"/>
              </w:rPr>
              <w:t>Botswana’s Services Commitments</w:t>
            </w:r>
            <w:r>
              <w:rPr>
                <w:b/>
                <w:bCs/>
                <w:lang w:eastAsia="en-GB"/>
              </w:rPr>
              <w:t xml:space="preserve"> </w:t>
            </w:r>
          </w:p>
          <w:p w14:paraId="54DB2F0C" w14:textId="06560440" w:rsidR="00A01A06" w:rsidRPr="006726CA" w:rsidRDefault="00A01A06" w:rsidP="006726CA">
            <w:pPr>
              <w:rPr>
                <w:lang w:eastAsia="en-GB"/>
              </w:rPr>
            </w:pPr>
            <w:r w:rsidRPr="006726CA">
              <w:rPr>
                <w:lang w:eastAsia="en-GB"/>
              </w:rPr>
              <w:t>Review of selected entries from Botswana’s GATS, SADC and AfCFTA commitments; interpretation of scheduled limitations; comparison of levels of commitment</w:t>
            </w:r>
            <w:r>
              <w:rPr>
                <w:lang w:eastAsia="en-GB"/>
              </w:rPr>
              <w:t>.</w:t>
            </w:r>
          </w:p>
          <w:p w14:paraId="310C565D" w14:textId="77777777" w:rsidR="00A01A06" w:rsidRDefault="00A01A06" w:rsidP="006726CA">
            <w:pPr>
              <w:rPr>
                <w:b/>
                <w:bCs/>
                <w:lang w:eastAsia="en-GB"/>
              </w:rPr>
            </w:pPr>
          </w:p>
          <w:p w14:paraId="2D2A28DC" w14:textId="2CEDC193" w:rsidR="00A01A06" w:rsidRDefault="00A01A06" w:rsidP="006726CA">
            <w:pPr>
              <w:rPr>
                <w:b/>
                <w:bCs/>
                <w:lang w:eastAsia="en-GB"/>
              </w:rPr>
            </w:pPr>
            <w:r w:rsidRPr="006726CA">
              <w:rPr>
                <w:b/>
                <w:bCs/>
                <w:lang w:eastAsia="en-GB"/>
              </w:rPr>
              <w:t>Practical Scheduling Exercise</w:t>
            </w:r>
          </w:p>
          <w:p w14:paraId="77A8B706" w14:textId="525DC560" w:rsidR="00A01A06" w:rsidRPr="006726CA" w:rsidRDefault="00A01A06" w:rsidP="006726CA">
            <w:pPr>
              <w:rPr>
                <w:lang w:eastAsia="en-GB"/>
              </w:rPr>
            </w:pPr>
            <w:r>
              <w:rPr>
                <w:lang w:eastAsia="en-GB"/>
              </w:rPr>
              <w:t>Exercise</w:t>
            </w:r>
            <w:r w:rsidRPr="006726CA">
              <w:rPr>
                <w:lang w:eastAsia="en-GB"/>
              </w:rPr>
              <w:t xml:space="preserve"> on translating regulatory measures and negotiating instructions into schedule entries; market access versus national treatment; horizontal versus sector-specific limitations; measures that do not need to be scheduled.</w:t>
            </w:r>
          </w:p>
          <w:p w14:paraId="7E15E427" w14:textId="77777777" w:rsidR="00A01A06" w:rsidRDefault="00A01A06" w:rsidP="008E1EDB">
            <w:pPr>
              <w:rPr>
                <w:lang w:eastAsia="en-GB"/>
              </w:rPr>
            </w:pPr>
          </w:p>
        </w:tc>
      </w:tr>
      <w:tr w:rsidR="00A01A06" w14:paraId="0B256438" w14:textId="77777777" w:rsidTr="00D51069">
        <w:trPr>
          <w:trHeight w:val="2985"/>
        </w:trPr>
        <w:tc>
          <w:tcPr>
            <w:tcW w:w="2122" w:type="dxa"/>
          </w:tcPr>
          <w:p w14:paraId="2E7322EF" w14:textId="77777777" w:rsidR="00A01A06" w:rsidRDefault="00A01A06" w:rsidP="008E1EDB">
            <w:pPr>
              <w:rPr>
                <w:lang w:eastAsia="en-GB"/>
              </w:rPr>
            </w:pPr>
            <w:r>
              <w:rPr>
                <w:lang w:eastAsia="en-GB"/>
              </w:rPr>
              <w:t>Afternoon</w:t>
            </w:r>
          </w:p>
        </w:tc>
        <w:tc>
          <w:tcPr>
            <w:tcW w:w="6894" w:type="dxa"/>
          </w:tcPr>
          <w:p w14:paraId="08A9ED49" w14:textId="77777777" w:rsidR="00A01A06" w:rsidRDefault="00A01A06" w:rsidP="006726CA">
            <w:pPr>
              <w:spacing w:after="120"/>
              <w:rPr>
                <w:b/>
                <w:bCs/>
                <w:lang w:eastAsia="en-GB"/>
              </w:rPr>
            </w:pPr>
            <w:r w:rsidRPr="006726CA">
              <w:rPr>
                <w:b/>
                <w:bCs/>
                <w:lang w:eastAsia="en-GB"/>
              </w:rPr>
              <w:t>Introduction to I-TIP Services and the Services Trade Policy Database (</w:t>
            </w:r>
            <w:proofErr w:type="spellStart"/>
            <w:r w:rsidRPr="006726CA">
              <w:rPr>
                <w:b/>
                <w:bCs/>
                <w:lang w:eastAsia="en-GB"/>
              </w:rPr>
              <w:t>STPD</w:t>
            </w:r>
            <w:proofErr w:type="spellEnd"/>
            <w:r w:rsidRPr="006726CA">
              <w:rPr>
                <w:b/>
                <w:bCs/>
                <w:lang w:eastAsia="en-GB"/>
              </w:rPr>
              <w:t>)</w:t>
            </w:r>
            <w:r>
              <w:rPr>
                <w:b/>
                <w:bCs/>
                <w:lang w:eastAsia="en-GB"/>
              </w:rPr>
              <w:t xml:space="preserve"> </w:t>
            </w:r>
          </w:p>
          <w:p w14:paraId="2BAD6E19" w14:textId="11627186" w:rsidR="00A01A06" w:rsidRDefault="00A01A06" w:rsidP="00A01A06">
            <w:pPr>
              <w:rPr>
                <w:lang w:eastAsia="en-GB"/>
              </w:rPr>
            </w:pPr>
            <w:r w:rsidRPr="006726CA">
              <w:rPr>
                <w:lang w:eastAsia="en-GB"/>
              </w:rPr>
              <w:t xml:space="preserve">Overview of information on commitments and applied services trade policies; use of I-TIP Services and the </w:t>
            </w:r>
            <w:proofErr w:type="spellStart"/>
            <w:r w:rsidRPr="006726CA">
              <w:rPr>
                <w:lang w:eastAsia="en-GB"/>
              </w:rPr>
              <w:t>STPD</w:t>
            </w:r>
            <w:proofErr w:type="spellEnd"/>
            <w:r w:rsidRPr="006726CA">
              <w:rPr>
                <w:lang w:eastAsia="en-GB"/>
              </w:rPr>
              <w:t xml:space="preserve"> to support negotiating analysis.</w:t>
            </w:r>
          </w:p>
          <w:p w14:paraId="0AF4A214" w14:textId="77777777" w:rsidR="00A01A06" w:rsidRPr="006726CA" w:rsidRDefault="00A01A06" w:rsidP="00A01A06">
            <w:pPr>
              <w:rPr>
                <w:lang w:eastAsia="en-GB"/>
              </w:rPr>
            </w:pPr>
          </w:p>
          <w:p w14:paraId="72C75B16" w14:textId="77777777" w:rsidR="00A01A06" w:rsidRDefault="00A01A06" w:rsidP="006726CA">
            <w:pPr>
              <w:spacing w:after="120"/>
              <w:rPr>
                <w:b/>
                <w:bCs/>
                <w:lang w:eastAsia="en-GB"/>
              </w:rPr>
            </w:pPr>
            <w:r w:rsidRPr="006726CA">
              <w:rPr>
                <w:b/>
                <w:bCs/>
                <w:lang w:eastAsia="en-GB"/>
              </w:rPr>
              <w:t>From Requests to Offers</w:t>
            </w:r>
            <w:r>
              <w:rPr>
                <w:b/>
                <w:bCs/>
                <w:lang w:eastAsia="en-GB"/>
              </w:rPr>
              <w:t xml:space="preserve"> </w:t>
            </w:r>
          </w:p>
          <w:p w14:paraId="37658076" w14:textId="23363CCD" w:rsidR="00A01A06" w:rsidRPr="006726CA" w:rsidRDefault="00A01A06" w:rsidP="006726CA">
            <w:pPr>
              <w:spacing w:after="120"/>
              <w:rPr>
                <w:lang w:eastAsia="en-GB"/>
              </w:rPr>
            </w:pPr>
            <w:r w:rsidRPr="006726CA">
              <w:rPr>
                <w:lang w:eastAsia="en-GB"/>
              </w:rPr>
              <w:t xml:space="preserve">Preparing and analysing requests and offers; identifying negotiating interests; comparing requests with applied regimes and existing commitments; assessing possible new bindings; use of </w:t>
            </w:r>
            <w:proofErr w:type="spellStart"/>
            <w:r w:rsidRPr="006726CA">
              <w:rPr>
                <w:lang w:eastAsia="en-GB"/>
              </w:rPr>
              <w:t>STPD</w:t>
            </w:r>
            <w:proofErr w:type="spellEnd"/>
            <w:r w:rsidRPr="006726CA">
              <w:rPr>
                <w:lang w:eastAsia="en-GB"/>
              </w:rPr>
              <w:t xml:space="preserve"> information to support the exercise</w:t>
            </w:r>
          </w:p>
          <w:p w14:paraId="121001E5" w14:textId="77777777" w:rsidR="00A01A06" w:rsidRDefault="00A01A06" w:rsidP="008E1EDB">
            <w:pPr>
              <w:rPr>
                <w:lang w:eastAsia="en-GB"/>
              </w:rPr>
            </w:pPr>
          </w:p>
        </w:tc>
      </w:tr>
    </w:tbl>
    <w:p w14:paraId="03B332D3" w14:textId="101EEDB9" w:rsidR="00ED69D5" w:rsidRDefault="00ED69D5" w:rsidP="00ED69D5">
      <w:pPr>
        <w:rPr>
          <w:lang w:eastAsia="en-GB"/>
        </w:rPr>
      </w:pPr>
    </w:p>
    <w:p w14:paraId="6148FE31" w14:textId="77777777" w:rsidR="00A01A06" w:rsidRDefault="00A01A06" w:rsidP="00ED69D5">
      <w:pPr>
        <w:rPr>
          <w:lang w:eastAsia="en-GB"/>
        </w:rPr>
      </w:pPr>
    </w:p>
    <w:p w14:paraId="658BD53A" w14:textId="042A29EA" w:rsidR="00A01A06" w:rsidRPr="006726CA" w:rsidRDefault="00A01A06" w:rsidP="00A01A06">
      <w:pPr>
        <w:rPr>
          <w:b/>
          <w:bCs/>
          <w:u w:val="single"/>
          <w:lang w:eastAsia="en-GB"/>
        </w:rPr>
      </w:pPr>
      <w:r>
        <w:rPr>
          <w:b/>
          <w:bCs/>
          <w:u w:val="single"/>
          <w:lang w:eastAsia="en-GB"/>
        </w:rPr>
        <w:t>Thursday,</w:t>
      </w:r>
      <w:r w:rsidRPr="006726CA">
        <w:rPr>
          <w:b/>
          <w:bCs/>
          <w:u w:val="single"/>
          <w:lang w:eastAsia="en-GB"/>
        </w:rPr>
        <w:t xml:space="preserve"> 2</w:t>
      </w:r>
      <w:r>
        <w:rPr>
          <w:b/>
          <w:bCs/>
          <w:u w:val="single"/>
          <w:lang w:eastAsia="en-GB"/>
        </w:rPr>
        <w:t>6</w:t>
      </w:r>
      <w:r w:rsidRPr="006726CA">
        <w:rPr>
          <w:b/>
          <w:bCs/>
          <w:u w:val="single"/>
          <w:lang w:eastAsia="en-GB"/>
        </w:rPr>
        <w:t xml:space="preserve"> November 2026</w:t>
      </w:r>
    </w:p>
    <w:p w14:paraId="3B9BDD76" w14:textId="77777777" w:rsidR="00A01A06" w:rsidRDefault="00A01A06" w:rsidP="00ED69D5">
      <w:pPr>
        <w:rPr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894"/>
      </w:tblGrid>
      <w:tr w:rsidR="00A01A06" w14:paraId="60BEFE3E" w14:textId="77777777" w:rsidTr="00F56693">
        <w:trPr>
          <w:trHeight w:val="3063"/>
        </w:trPr>
        <w:tc>
          <w:tcPr>
            <w:tcW w:w="2122" w:type="dxa"/>
          </w:tcPr>
          <w:p w14:paraId="7C6D0731" w14:textId="77777777" w:rsidR="00A01A06" w:rsidRDefault="00A01A06" w:rsidP="008E1EDB">
            <w:pPr>
              <w:rPr>
                <w:lang w:eastAsia="en-GB"/>
              </w:rPr>
            </w:pPr>
            <w:r>
              <w:rPr>
                <w:lang w:eastAsia="en-GB"/>
              </w:rPr>
              <w:t xml:space="preserve">Morning </w:t>
            </w:r>
          </w:p>
        </w:tc>
        <w:tc>
          <w:tcPr>
            <w:tcW w:w="6894" w:type="dxa"/>
          </w:tcPr>
          <w:p w14:paraId="71B71120" w14:textId="77777777" w:rsidR="00A01A06" w:rsidRDefault="00A01A06" w:rsidP="001D5C2C">
            <w:pPr>
              <w:spacing w:after="120"/>
              <w:rPr>
                <w:b/>
                <w:bCs/>
                <w:lang w:eastAsia="en-GB"/>
              </w:rPr>
            </w:pPr>
            <w:r w:rsidRPr="00A01A06">
              <w:rPr>
                <w:b/>
                <w:bCs/>
                <w:lang w:eastAsia="en-GB"/>
              </w:rPr>
              <w:t>Services Domestic Regulation</w:t>
            </w:r>
            <w:r>
              <w:rPr>
                <w:b/>
                <w:bCs/>
                <w:lang w:eastAsia="en-GB"/>
              </w:rPr>
              <w:t xml:space="preserve"> </w:t>
            </w:r>
          </w:p>
          <w:p w14:paraId="330BFA67" w14:textId="23B31AA0" w:rsidR="00A01A06" w:rsidRDefault="001D5C2C" w:rsidP="001D5C2C">
            <w:pPr>
              <w:spacing w:after="120"/>
              <w:rPr>
                <w:lang w:eastAsia="en-GB"/>
              </w:rPr>
            </w:pPr>
            <w:r w:rsidRPr="001D5C2C">
              <w:rPr>
                <w:lang w:eastAsia="en-GB"/>
              </w:rPr>
              <w:t>Licensing requirements and procedures, qualification requirements and procedures, and technical standards; identifying regulatory barriers to services trade; GATS domestic regulation disciplines; WTO Disciplines on Services Domestic Regulation and key flexibilities; relevance for the development of regional regulatory frameworks.</w:t>
            </w:r>
          </w:p>
          <w:p w14:paraId="632F2BE0" w14:textId="77777777" w:rsidR="001D5C2C" w:rsidRPr="00A01A06" w:rsidRDefault="001D5C2C" w:rsidP="00A01A06">
            <w:pPr>
              <w:rPr>
                <w:lang w:eastAsia="en-GB"/>
              </w:rPr>
            </w:pPr>
          </w:p>
          <w:p w14:paraId="7C1AF769" w14:textId="77777777" w:rsidR="006C203F" w:rsidRDefault="006C203F" w:rsidP="006C203F">
            <w:pPr>
              <w:spacing w:after="120"/>
              <w:rPr>
                <w:b/>
                <w:bCs/>
                <w:lang w:eastAsia="en-GB"/>
              </w:rPr>
            </w:pPr>
            <w:r w:rsidRPr="006C203F">
              <w:rPr>
                <w:b/>
                <w:bCs/>
                <w:lang w:eastAsia="en-GB"/>
              </w:rPr>
              <w:t xml:space="preserve">Trade in Services under SADC and the AfCFTA – Achievements, Current Agenda and Issues for </w:t>
            </w:r>
            <w:r>
              <w:rPr>
                <w:b/>
                <w:bCs/>
                <w:lang w:eastAsia="en-GB"/>
              </w:rPr>
              <w:t xml:space="preserve">Botswana </w:t>
            </w:r>
          </w:p>
          <w:p w14:paraId="7DB9ECD1" w14:textId="3E361456" w:rsidR="00A01A06" w:rsidRPr="006C203F" w:rsidRDefault="006C203F" w:rsidP="006C203F">
            <w:pPr>
              <w:spacing w:after="120"/>
              <w:rPr>
                <w:lang w:eastAsia="en-GB"/>
              </w:rPr>
            </w:pPr>
            <w:proofErr w:type="gramStart"/>
            <w:r w:rsidRPr="006C203F">
              <w:rPr>
                <w:lang w:eastAsia="en-GB"/>
              </w:rPr>
              <w:t>Comparative</w:t>
            </w:r>
            <w:proofErr w:type="gramEnd"/>
            <w:r w:rsidRPr="006C203F">
              <w:rPr>
                <w:lang w:eastAsia="en-GB"/>
              </w:rPr>
              <w:t xml:space="preserve"> stocktake of the two regional frameworks; Botswana’s commitments and participation; achievements to date; current negotiations and implementation agenda; sectoral regulatory frameworks</w:t>
            </w:r>
            <w:r>
              <w:rPr>
                <w:lang w:eastAsia="en-GB"/>
              </w:rPr>
              <w:t xml:space="preserve"> and annexes</w:t>
            </w:r>
            <w:r w:rsidRPr="006C203F">
              <w:rPr>
                <w:lang w:eastAsia="en-GB"/>
              </w:rPr>
              <w:t>; key issues for Botswana.</w:t>
            </w:r>
          </w:p>
        </w:tc>
      </w:tr>
      <w:tr w:rsidR="006C203F" w14:paraId="58525BB4" w14:textId="77777777" w:rsidTr="00565B5C">
        <w:trPr>
          <w:trHeight w:val="4876"/>
        </w:trPr>
        <w:tc>
          <w:tcPr>
            <w:tcW w:w="2122" w:type="dxa"/>
          </w:tcPr>
          <w:p w14:paraId="6DB8149D" w14:textId="77777777" w:rsidR="006C203F" w:rsidRDefault="006C203F" w:rsidP="008E1EDB">
            <w:pPr>
              <w:rPr>
                <w:lang w:eastAsia="en-GB"/>
              </w:rPr>
            </w:pPr>
            <w:r>
              <w:rPr>
                <w:lang w:eastAsia="en-GB"/>
              </w:rPr>
              <w:lastRenderedPageBreak/>
              <w:t>Afternoon</w:t>
            </w:r>
          </w:p>
        </w:tc>
        <w:tc>
          <w:tcPr>
            <w:tcW w:w="6894" w:type="dxa"/>
          </w:tcPr>
          <w:p w14:paraId="4F74CAA2" w14:textId="46DF46B4" w:rsidR="006C203F" w:rsidRDefault="006C203F" w:rsidP="006C203F">
            <w:pPr>
              <w:spacing w:after="120"/>
              <w:rPr>
                <w:b/>
                <w:bCs/>
                <w:lang w:eastAsia="en-GB"/>
              </w:rPr>
            </w:pPr>
            <w:r w:rsidRPr="006C203F">
              <w:rPr>
                <w:b/>
                <w:bCs/>
                <w:lang w:eastAsia="en-GB"/>
              </w:rPr>
              <w:t xml:space="preserve">Comparing the GATS, SADC and AfCFTA Services Frameworks – </w:t>
            </w:r>
            <w:r>
              <w:rPr>
                <w:b/>
                <w:bCs/>
                <w:lang w:eastAsia="en-GB"/>
              </w:rPr>
              <w:t xml:space="preserve">Short </w:t>
            </w:r>
            <w:r w:rsidRPr="006C203F">
              <w:rPr>
                <w:b/>
                <w:bCs/>
                <w:lang w:eastAsia="en-GB"/>
              </w:rPr>
              <w:t>Exercise</w:t>
            </w:r>
            <w:r>
              <w:rPr>
                <w:b/>
                <w:bCs/>
                <w:lang w:eastAsia="en-GB"/>
              </w:rPr>
              <w:t xml:space="preserve"> </w:t>
            </w:r>
          </w:p>
          <w:p w14:paraId="55FBD190" w14:textId="3A4B9DA6" w:rsidR="006C203F" w:rsidRDefault="006C203F" w:rsidP="006C203F">
            <w:pPr>
              <w:spacing w:after="120"/>
              <w:rPr>
                <w:lang w:eastAsia="en-GB"/>
              </w:rPr>
            </w:pPr>
            <w:r w:rsidRPr="006C203F">
              <w:rPr>
                <w:lang w:eastAsia="en-GB"/>
              </w:rPr>
              <w:t xml:space="preserve">Comparison of </w:t>
            </w:r>
            <w:r>
              <w:rPr>
                <w:lang w:eastAsia="en-GB"/>
              </w:rPr>
              <w:t>variation in</w:t>
            </w:r>
            <w:r w:rsidRPr="006C203F">
              <w:rPr>
                <w:lang w:eastAsia="en-GB"/>
              </w:rPr>
              <w:t xml:space="preserve"> provisions and approaches; areas where SADC and AfCFTA go beyond the GATS; differences in liberalization </w:t>
            </w:r>
            <w:r>
              <w:rPr>
                <w:lang w:eastAsia="en-GB"/>
              </w:rPr>
              <w:t>processes</w:t>
            </w:r>
            <w:r w:rsidRPr="006C203F">
              <w:rPr>
                <w:lang w:eastAsia="en-GB"/>
              </w:rPr>
              <w:t>; GATS provisions not incorporated or addressed differently, in the regional frameworks.</w:t>
            </w:r>
          </w:p>
          <w:p w14:paraId="15F85BD6" w14:textId="77777777" w:rsidR="006C203F" w:rsidRPr="006C203F" w:rsidRDefault="006C203F" w:rsidP="006C203F">
            <w:pPr>
              <w:rPr>
                <w:lang w:eastAsia="en-GB"/>
              </w:rPr>
            </w:pPr>
          </w:p>
          <w:p w14:paraId="51483542" w14:textId="77777777" w:rsidR="006C203F" w:rsidRDefault="006C203F" w:rsidP="006C203F">
            <w:pPr>
              <w:spacing w:after="120"/>
              <w:rPr>
                <w:b/>
                <w:bCs/>
                <w:lang w:eastAsia="en-GB"/>
              </w:rPr>
            </w:pPr>
            <w:r w:rsidRPr="006C203F">
              <w:rPr>
                <w:b/>
                <w:bCs/>
                <w:lang w:eastAsia="en-GB"/>
              </w:rPr>
              <w:t>Managing Overlapping Trade, Digital Trade and Investment Frameworks</w:t>
            </w:r>
            <w:r>
              <w:rPr>
                <w:b/>
                <w:bCs/>
                <w:lang w:eastAsia="en-GB"/>
              </w:rPr>
              <w:t xml:space="preserve"> </w:t>
            </w:r>
          </w:p>
          <w:p w14:paraId="38A375C0" w14:textId="104C2C54" w:rsidR="006C203F" w:rsidRDefault="006C203F" w:rsidP="006C203F">
            <w:pPr>
              <w:spacing w:after="120"/>
              <w:rPr>
                <w:lang w:eastAsia="en-GB"/>
              </w:rPr>
            </w:pPr>
            <w:r w:rsidRPr="006C203F">
              <w:rPr>
                <w:lang w:eastAsia="en-GB"/>
              </w:rPr>
              <w:t xml:space="preserve">Coherence between GATS, SADC and AfCFTA commitments; interaction with e-commerce/digital trade rules; links with investment </w:t>
            </w:r>
            <w:r>
              <w:rPr>
                <w:lang w:eastAsia="en-GB"/>
              </w:rPr>
              <w:t xml:space="preserve">and investment facilitation </w:t>
            </w:r>
            <w:r w:rsidRPr="006C203F">
              <w:rPr>
                <w:lang w:eastAsia="en-GB"/>
              </w:rPr>
              <w:t xml:space="preserve">agreements and </w:t>
            </w:r>
            <w:r>
              <w:rPr>
                <w:lang w:eastAsia="en-GB"/>
              </w:rPr>
              <w:t>initiatives.</w:t>
            </w:r>
          </w:p>
          <w:p w14:paraId="7C8EFDC5" w14:textId="77777777" w:rsidR="006C203F" w:rsidRPr="006C203F" w:rsidRDefault="006C203F" w:rsidP="006C203F">
            <w:pPr>
              <w:rPr>
                <w:lang w:eastAsia="en-GB"/>
              </w:rPr>
            </w:pPr>
          </w:p>
          <w:p w14:paraId="746CFA6C" w14:textId="77777777" w:rsidR="006C203F" w:rsidRDefault="006C203F" w:rsidP="006C203F">
            <w:pPr>
              <w:spacing w:after="120"/>
              <w:rPr>
                <w:b/>
                <w:bCs/>
                <w:lang w:eastAsia="en-GB"/>
              </w:rPr>
            </w:pPr>
            <w:r w:rsidRPr="006C203F">
              <w:rPr>
                <w:b/>
                <w:bCs/>
                <w:lang w:eastAsia="en-GB"/>
              </w:rPr>
              <w:t>Mutual Recognition Agreements – Concepts and Legal Framework</w:t>
            </w:r>
          </w:p>
          <w:p w14:paraId="71E92AED" w14:textId="1417E9B1" w:rsidR="006C203F" w:rsidRPr="006C203F" w:rsidRDefault="006C203F" w:rsidP="006C203F">
            <w:pPr>
              <w:spacing w:after="120"/>
              <w:rPr>
                <w:lang w:eastAsia="en-GB"/>
              </w:rPr>
            </w:pPr>
            <w:r w:rsidRPr="006C203F">
              <w:rPr>
                <w:lang w:eastAsia="en-GB"/>
              </w:rPr>
              <w:t>Purpose and operation of recognition arrangements and MRAs; GATS Article VII; recognition versus harmonization; relationship with licensing and professional regulation; role of MRAs in facilitating trade in professional services and mobility.</w:t>
            </w:r>
          </w:p>
          <w:p w14:paraId="49FBB4C2" w14:textId="77777777" w:rsidR="006C203F" w:rsidRDefault="006C203F" w:rsidP="008E1EDB">
            <w:pPr>
              <w:rPr>
                <w:lang w:eastAsia="en-GB"/>
              </w:rPr>
            </w:pPr>
          </w:p>
        </w:tc>
      </w:tr>
    </w:tbl>
    <w:p w14:paraId="0D7FD723" w14:textId="77777777" w:rsidR="00ED69D5" w:rsidRDefault="00ED69D5" w:rsidP="00ED69D5">
      <w:pPr>
        <w:rPr>
          <w:lang w:eastAsia="en-GB"/>
        </w:rPr>
      </w:pPr>
    </w:p>
    <w:p w14:paraId="1B7E1EF3" w14:textId="77777777" w:rsidR="003B38DE" w:rsidRDefault="003B38DE" w:rsidP="00ED69D5">
      <w:pPr>
        <w:rPr>
          <w:lang w:eastAsia="en-GB"/>
        </w:rPr>
      </w:pPr>
    </w:p>
    <w:p w14:paraId="55255262" w14:textId="71BF18A1" w:rsidR="006C203F" w:rsidRPr="006C203F" w:rsidRDefault="006C203F" w:rsidP="00ED69D5">
      <w:pPr>
        <w:rPr>
          <w:b/>
          <w:bCs/>
          <w:u w:val="single"/>
          <w:lang w:eastAsia="en-GB"/>
        </w:rPr>
      </w:pPr>
      <w:r w:rsidRPr="006C203F">
        <w:rPr>
          <w:b/>
          <w:bCs/>
          <w:u w:val="single"/>
          <w:lang w:eastAsia="en-GB"/>
        </w:rPr>
        <w:t>Friday, 27 November 2026</w:t>
      </w:r>
    </w:p>
    <w:p w14:paraId="425D1BB5" w14:textId="77777777" w:rsidR="006C203F" w:rsidRDefault="006C203F" w:rsidP="00ED69D5">
      <w:pPr>
        <w:rPr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894"/>
      </w:tblGrid>
      <w:tr w:rsidR="00EB37E3" w14:paraId="1FE510A3" w14:textId="77777777" w:rsidTr="00BC2ABB">
        <w:trPr>
          <w:trHeight w:val="3543"/>
        </w:trPr>
        <w:tc>
          <w:tcPr>
            <w:tcW w:w="2122" w:type="dxa"/>
          </w:tcPr>
          <w:p w14:paraId="0785C7A3" w14:textId="77777777" w:rsidR="00EB37E3" w:rsidRDefault="00EB37E3" w:rsidP="008E1EDB">
            <w:pPr>
              <w:rPr>
                <w:lang w:eastAsia="en-GB"/>
              </w:rPr>
            </w:pPr>
            <w:r>
              <w:rPr>
                <w:lang w:eastAsia="en-GB"/>
              </w:rPr>
              <w:t xml:space="preserve">Morning </w:t>
            </w:r>
          </w:p>
        </w:tc>
        <w:tc>
          <w:tcPr>
            <w:tcW w:w="6894" w:type="dxa"/>
          </w:tcPr>
          <w:p w14:paraId="6BB2C986" w14:textId="77777777" w:rsidR="00EB37E3" w:rsidRDefault="00EB37E3" w:rsidP="00EB37E3">
            <w:pPr>
              <w:spacing w:after="120"/>
              <w:rPr>
                <w:b/>
                <w:bCs/>
                <w:lang w:eastAsia="en-GB"/>
              </w:rPr>
            </w:pPr>
            <w:r w:rsidRPr="00EB37E3">
              <w:rPr>
                <w:b/>
                <w:bCs/>
                <w:lang w:eastAsia="en-GB"/>
              </w:rPr>
              <w:t xml:space="preserve">Mutual Recognition Agreements in Practice – Regional Approaches and Prospects for </w:t>
            </w:r>
            <w:r>
              <w:rPr>
                <w:b/>
                <w:bCs/>
                <w:lang w:eastAsia="en-GB"/>
              </w:rPr>
              <w:t xml:space="preserve">Botswana </w:t>
            </w:r>
          </w:p>
          <w:p w14:paraId="684DC3AE" w14:textId="64FA26E3" w:rsidR="00EB37E3" w:rsidRDefault="00EB37E3" w:rsidP="00EB37E3">
            <w:pPr>
              <w:spacing w:after="120"/>
              <w:rPr>
                <w:lang w:eastAsia="en-GB"/>
              </w:rPr>
            </w:pPr>
            <w:r w:rsidRPr="00EB37E3">
              <w:rPr>
                <w:lang w:eastAsia="en-GB"/>
              </w:rPr>
              <w:t xml:space="preserve">SADC and AfCFTA provisions and ongoing work on mutual recognition; existing guidelines and institutional processes; selected </w:t>
            </w:r>
            <w:proofErr w:type="spellStart"/>
            <w:r w:rsidRPr="00EB37E3">
              <w:rPr>
                <w:lang w:eastAsia="en-GB"/>
              </w:rPr>
              <w:t>MRA</w:t>
            </w:r>
            <w:proofErr w:type="spellEnd"/>
            <w:r w:rsidRPr="00EB37E3">
              <w:rPr>
                <w:lang w:eastAsia="en-GB"/>
              </w:rPr>
              <w:t xml:space="preserve"> experiences in Africa and other regions; practical steps in developing and implementing MRAs; roles of trade ministries, regulators and professional bodies; possible priorities for Botswana.</w:t>
            </w:r>
          </w:p>
          <w:p w14:paraId="65406DBD" w14:textId="77777777" w:rsidR="00EB37E3" w:rsidRDefault="00EB37E3" w:rsidP="00EB37E3">
            <w:pPr>
              <w:spacing w:after="120"/>
              <w:rPr>
                <w:b/>
                <w:bCs/>
                <w:lang w:eastAsia="en-GB"/>
              </w:rPr>
            </w:pPr>
            <w:r w:rsidRPr="00EB37E3">
              <w:rPr>
                <w:b/>
                <w:bCs/>
                <w:lang w:eastAsia="en-GB"/>
              </w:rPr>
              <w:t>The WTO–World Bank Trade in Services Competitiveness Dashboard</w:t>
            </w:r>
            <w:r>
              <w:rPr>
                <w:b/>
                <w:bCs/>
                <w:lang w:eastAsia="en-GB"/>
              </w:rPr>
              <w:t xml:space="preserve"> </w:t>
            </w:r>
          </w:p>
          <w:p w14:paraId="69C878C1" w14:textId="17319C28" w:rsidR="00EB37E3" w:rsidRDefault="00EB37E3" w:rsidP="00EB37E3">
            <w:pPr>
              <w:spacing w:after="120"/>
              <w:rPr>
                <w:b/>
                <w:bCs/>
                <w:lang w:eastAsia="en-GB"/>
              </w:rPr>
            </w:pPr>
            <w:r w:rsidRPr="00EB37E3">
              <w:rPr>
                <w:lang w:eastAsia="en-GB"/>
              </w:rPr>
              <w:t>Introduction to the Dashboard and its main components; use of quantitative and qualitative indicators to assess services trade performance and potential; identifying strengths, constraints and possible policy priorities for Botswana.</w:t>
            </w:r>
          </w:p>
          <w:p w14:paraId="32486F5D" w14:textId="46B30561" w:rsidR="00EB37E3" w:rsidRPr="00EB37E3" w:rsidRDefault="00EB37E3" w:rsidP="008E1EDB">
            <w:pPr>
              <w:rPr>
                <w:lang w:eastAsia="en-GB"/>
              </w:rPr>
            </w:pPr>
          </w:p>
        </w:tc>
      </w:tr>
      <w:tr w:rsidR="00EB37E3" w14:paraId="629F9B07" w14:textId="77777777" w:rsidTr="0071329A">
        <w:trPr>
          <w:trHeight w:val="2188"/>
        </w:trPr>
        <w:tc>
          <w:tcPr>
            <w:tcW w:w="2122" w:type="dxa"/>
          </w:tcPr>
          <w:p w14:paraId="185E7249" w14:textId="77777777" w:rsidR="00EB37E3" w:rsidRDefault="00EB37E3" w:rsidP="008E1EDB">
            <w:pPr>
              <w:rPr>
                <w:lang w:eastAsia="en-GB"/>
              </w:rPr>
            </w:pPr>
            <w:r>
              <w:rPr>
                <w:lang w:eastAsia="en-GB"/>
              </w:rPr>
              <w:t>Afternoon</w:t>
            </w:r>
          </w:p>
        </w:tc>
        <w:tc>
          <w:tcPr>
            <w:tcW w:w="6894" w:type="dxa"/>
          </w:tcPr>
          <w:p w14:paraId="7239F8D3" w14:textId="19CF6B36" w:rsidR="003B38DE" w:rsidRDefault="003B38DE" w:rsidP="003B38DE">
            <w:pPr>
              <w:spacing w:after="120"/>
              <w:rPr>
                <w:b/>
                <w:bCs/>
                <w:lang w:eastAsia="en-GB"/>
              </w:rPr>
            </w:pPr>
            <w:r w:rsidRPr="003B38DE">
              <w:rPr>
                <w:b/>
                <w:bCs/>
                <w:lang w:eastAsia="en-GB"/>
              </w:rPr>
              <w:t xml:space="preserve">Practical Exercise – Applying the Trade in Services Competitiveness Dashboard to </w:t>
            </w:r>
            <w:r>
              <w:rPr>
                <w:b/>
                <w:bCs/>
                <w:lang w:eastAsia="en-GB"/>
              </w:rPr>
              <w:t>Botswana</w:t>
            </w:r>
          </w:p>
          <w:p w14:paraId="5DC83CD8" w14:textId="79E8C77D" w:rsidR="003B38DE" w:rsidRPr="003B38DE" w:rsidRDefault="003B38DE" w:rsidP="003B38DE">
            <w:pPr>
              <w:spacing w:after="120"/>
              <w:rPr>
                <w:lang w:eastAsia="en-GB"/>
              </w:rPr>
            </w:pPr>
            <w:r w:rsidRPr="003B38DE">
              <w:rPr>
                <w:lang w:eastAsia="en-GB"/>
              </w:rPr>
              <w:t>Participants use the Dashboard to examine selected aspects of Botswana’s services economy, identify strengths and weaknesses, and discuss possible policy and negotiating priorities emerging from the analysis.</w:t>
            </w:r>
          </w:p>
          <w:p w14:paraId="365E5649" w14:textId="77777777" w:rsidR="003B38DE" w:rsidRPr="003B38DE" w:rsidRDefault="003B38DE" w:rsidP="003B38DE">
            <w:pPr>
              <w:rPr>
                <w:b/>
                <w:bCs/>
                <w:lang w:eastAsia="en-GB"/>
              </w:rPr>
            </w:pPr>
          </w:p>
          <w:p w14:paraId="16127124" w14:textId="77777777" w:rsidR="003B38DE" w:rsidRDefault="003B38DE" w:rsidP="003B38DE">
            <w:pPr>
              <w:spacing w:after="120"/>
              <w:rPr>
                <w:b/>
                <w:bCs/>
                <w:lang w:eastAsia="en-GB"/>
              </w:rPr>
            </w:pPr>
            <w:r w:rsidRPr="003B38DE">
              <w:rPr>
                <w:b/>
                <w:bCs/>
                <w:lang w:eastAsia="en-GB"/>
              </w:rPr>
              <w:t>Workshop Conclusions and Next Steps</w:t>
            </w:r>
          </w:p>
          <w:p w14:paraId="65D318E9" w14:textId="4274CE12" w:rsidR="003B38DE" w:rsidRPr="003B38DE" w:rsidRDefault="003B38DE" w:rsidP="003B38DE">
            <w:pPr>
              <w:spacing w:after="120"/>
              <w:rPr>
                <w:lang w:eastAsia="en-GB"/>
              </w:rPr>
            </w:pPr>
            <w:r w:rsidRPr="003B38DE">
              <w:rPr>
                <w:lang w:eastAsia="en-GB"/>
              </w:rPr>
              <w:t>Key lessons; outstanding questions; priority negotiating and policy issues; domestic coordination needs; possible areas for follow-up technical assistance.</w:t>
            </w:r>
          </w:p>
          <w:p w14:paraId="7A53242C" w14:textId="77777777" w:rsidR="00EB37E3" w:rsidRDefault="00EB37E3" w:rsidP="008E1EDB">
            <w:pPr>
              <w:rPr>
                <w:lang w:eastAsia="en-GB"/>
              </w:rPr>
            </w:pPr>
          </w:p>
        </w:tc>
      </w:tr>
    </w:tbl>
    <w:p w14:paraId="395185C6" w14:textId="77777777" w:rsidR="00ED69D5" w:rsidRDefault="00ED69D5" w:rsidP="00ED69D5">
      <w:pPr>
        <w:rPr>
          <w:lang w:eastAsia="en-GB"/>
        </w:rPr>
      </w:pPr>
    </w:p>
    <w:p w14:paraId="5EA544CE" w14:textId="77777777" w:rsidR="003B38DE" w:rsidRDefault="003B38DE" w:rsidP="003B38DE">
      <w:pPr>
        <w:rPr>
          <w:lang w:eastAsia="en-GB"/>
        </w:rPr>
      </w:pPr>
    </w:p>
    <w:p w14:paraId="0715519A" w14:textId="53D4098D" w:rsidR="003B38DE" w:rsidRPr="003B38DE" w:rsidRDefault="003B38DE" w:rsidP="003B38DE">
      <w:pPr>
        <w:jc w:val="center"/>
        <w:rPr>
          <w:lang w:eastAsia="en-GB"/>
        </w:rPr>
      </w:pPr>
      <w:r>
        <w:rPr>
          <w:b/>
          <w:lang w:eastAsia="en-GB"/>
        </w:rPr>
        <w:t>__________</w:t>
      </w:r>
    </w:p>
    <w:sectPr w:rsidR="003B38DE" w:rsidRPr="003B38DE" w:rsidSect="00ED69D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67" w:right="1440" w:bottom="1440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14358" w14:textId="77777777" w:rsidR="002333AE" w:rsidRDefault="002333AE" w:rsidP="00ED54E0">
      <w:r>
        <w:separator/>
      </w:r>
    </w:p>
  </w:endnote>
  <w:endnote w:type="continuationSeparator" w:id="0">
    <w:p w14:paraId="2DC6A52C" w14:textId="77777777" w:rsidR="002333AE" w:rsidRDefault="002333AE" w:rsidP="00ED5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D5A85" w14:textId="77777777" w:rsidR="003B38DE" w:rsidRDefault="003B38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99263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DD736D" w14:textId="5544835E" w:rsidR="006C203F" w:rsidRDefault="006C203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EED0CCC" w14:textId="77777777" w:rsidR="006C203F" w:rsidRDefault="006C203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C2955" w14:textId="77777777" w:rsidR="003B38DE" w:rsidRDefault="003B38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A69A5" w14:textId="77777777" w:rsidR="002333AE" w:rsidRDefault="002333AE" w:rsidP="00ED54E0">
      <w:r>
        <w:separator/>
      </w:r>
    </w:p>
  </w:footnote>
  <w:footnote w:type="continuationSeparator" w:id="0">
    <w:p w14:paraId="46F7B1F6" w14:textId="77777777" w:rsidR="002333AE" w:rsidRDefault="002333AE" w:rsidP="00ED54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3B9C6" w14:textId="0AB26C99" w:rsidR="006726CA" w:rsidRDefault="003B38DE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9FCF2C9" wp14:editId="68A11FC5">
              <wp:simplePos x="0" y="0"/>
              <wp:positionH relativeFrom="rightMargin">
                <wp:posOffset>114300</wp:posOffset>
              </wp:positionH>
              <wp:positionV relativeFrom="page">
                <wp:align>center</wp:align>
              </wp:positionV>
              <wp:extent cx="323850" cy="910590"/>
              <wp:effectExtent l="0" t="0" r="0" b="3810"/>
              <wp:wrapNone/>
              <wp:docPr id="1643799943" name="TITUSER1hea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3850" cy="9105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625942E" w14:textId="77777777" w:rsidR="003B38DE" w:rsidRDefault="003B38DE" w:rsidP="003B38DE">
                          <w:pPr>
                            <w:jc w:val="left"/>
                          </w:pPr>
                          <w:r w:rsidRPr="003B38DE">
                            <w:rPr>
                              <w:color w:val="235C24"/>
                              <w:sz w:val="17"/>
                            </w:rPr>
                            <w:t>WTO - Internal</w:t>
                          </w:r>
                        </w:p>
                      </w:txbxContent>
                    </wps:txbx>
                    <wps:bodyPr rot="0" spcFirstLastPara="0" vertOverflow="overflow" horzOverflow="overflow" vert="vert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FCF2C9" id="_x0000_t202" coordsize="21600,21600" o:spt="202" path="m,l,21600r21600,l21600,xe">
              <v:stroke joinstyle="miter"/>
              <v:path gradientshapeok="t" o:connecttype="rect"/>
            </v:shapetype>
            <v:shape id="TITUSER1header" o:spid="_x0000_s1026" type="#_x0000_t202" style="position:absolute;margin-left:9pt;margin-top:0;width:25.5pt;height:71.7pt;z-index:251663360;visibility:visible;mso-wrap-style:none;mso-wrap-distance-left:9pt;mso-wrap-distance-top:0;mso-wrap-distance-right:9pt;mso-wrap-distance-bottom:0;mso-position-horizontal:absolute;mso-position-horizontal-relative:right-margin-area;mso-position-vertical:center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" filled="f" stroked="f" strokeweight=".5pt">
              <v:textbox style="layout-flow:vertical;mso-fit-shape-to-text:t">
                <w:txbxContent>
                  <w:p w14:paraId="2625942E" w14:textId="77777777" w:rsidR="003B38DE" w:rsidRDefault="003B38DE" w:rsidP="003B38DE">
                    <w:pPr>
                      <w:jc w:val="left"/>
                    </w:pPr>
                    <w:r w:rsidRPr="003B38DE">
                      <w:rPr>
                        <w:color w:val="235C24"/>
                        <w:sz w:val="17"/>
                      </w:rPr>
                      <w:t>WTO - Internal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763FB" w14:textId="2AF8A134" w:rsidR="00A6787A" w:rsidRDefault="003B38DE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4D06FC" wp14:editId="242BB7C7">
              <wp:simplePos x="0" y="0"/>
              <wp:positionH relativeFrom="rightMargin">
                <wp:posOffset>114300</wp:posOffset>
              </wp:positionH>
              <wp:positionV relativeFrom="page">
                <wp:align>center</wp:align>
              </wp:positionV>
              <wp:extent cx="323850" cy="910590"/>
              <wp:effectExtent l="0" t="0" r="0" b="3810"/>
              <wp:wrapNone/>
              <wp:docPr id="850756541" name="TITUSOR1hea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3850" cy="9105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6DCAD7F" w14:textId="77777777" w:rsidR="003B38DE" w:rsidRDefault="003B38DE" w:rsidP="003B38DE">
                          <w:pPr>
                            <w:jc w:val="left"/>
                          </w:pPr>
                          <w:r w:rsidRPr="003B38DE">
                            <w:rPr>
                              <w:color w:val="235C24"/>
                              <w:sz w:val="17"/>
                            </w:rPr>
                            <w:t>WTO - Internal</w:t>
                          </w:r>
                        </w:p>
                      </w:txbxContent>
                    </wps:txbx>
                    <wps:bodyPr rot="0" spcFirstLastPara="0" vertOverflow="overflow" horzOverflow="overflow" vert="vert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4D06FC" id="_x0000_t202" coordsize="21600,21600" o:spt="202" path="m,l,21600r21600,l21600,xe">
              <v:stroke joinstyle="miter"/>
              <v:path gradientshapeok="t" o:connecttype="rect"/>
            </v:shapetype>
            <v:shape id="TITUSOR1header" o:spid="_x0000_s1027" type="#_x0000_t202" style="position:absolute;margin-left:9pt;margin-top:0;width:25.5pt;height:71.7pt;z-index:251659264;visibility:visible;mso-wrap-style:none;mso-wrap-distance-left:9pt;mso-wrap-distance-top:0;mso-wrap-distance-right:9pt;mso-wrap-distance-bottom:0;mso-position-horizontal:absolute;mso-position-horizontal-relative:right-margin-area;mso-position-vertical:center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" filled="f" stroked="f" strokeweight=".5pt">
              <v:textbox style="layout-flow:vertical;mso-fit-shape-to-text:t">
                <w:txbxContent>
                  <w:p w14:paraId="16DCAD7F" w14:textId="77777777" w:rsidR="003B38DE" w:rsidRDefault="003B38DE" w:rsidP="003B38DE">
                    <w:pPr>
                      <w:jc w:val="left"/>
                    </w:pPr>
                    <w:r w:rsidRPr="003B38DE">
                      <w:rPr>
                        <w:color w:val="235C24"/>
                        <w:sz w:val="17"/>
                      </w:rPr>
                      <w:t>WTO - Internal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FDB44" w14:textId="00B3E121" w:rsidR="006726CA" w:rsidRDefault="003B38DE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FD053DB" wp14:editId="2CD9447F">
              <wp:simplePos x="0" y="0"/>
              <wp:positionH relativeFrom="rightMargin">
                <wp:posOffset>114300</wp:posOffset>
              </wp:positionH>
              <wp:positionV relativeFrom="page">
                <wp:align>center</wp:align>
              </wp:positionV>
              <wp:extent cx="323850" cy="910590"/>
              <wp:effectExtent l="0" t="0" r="0" b="3810"/>
              <wp:wrapNone/>
              <wp:docPr id="1044860862" name="TITUSFR1hea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3850" cy="9105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C360D95" w14:textId="77777777" w:rsidR="003B38DE" w:rsidRDefault="003B38DE" w:rsidP="003B38DE">
                          <w:pPr>
                            <w:jc w:val="left"/>
                          </w:pPr>
                          <w:r w:rsidRPr="003B38DE">
                            <w:rPr>
                              <w:color w:val="235C24"/>
                              <w:sz w:val="17"/>
                            </w:rPr>
                            <w:t>WTO - Internal</w:t>
                          </w:r>
                        </w:p>
                      </w:txbxContent>
                    </wps:txbx>
                    <wps:bodyPr rot="0" spcFirstLastPara="0" vertOverflow="overflow" horzOverflow="overflow" vert="vert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D053DB" id="_x0000_t202" coordsize="21600,21600" o:spt="202" path="m,l,21600r21600,l21600,xe">
              <v:stroke joinstyle="miter"/>
              <v:path gradientshapeok="t" o:connecttype="rect"/>
            </v:shapetype>
            <v:shape id="TITUSFR1header" o:spid="_x0000_s1028" type="#_x0000_t202" style="position:absolute;margin-left:9pt;margin-top:0;width:25.5pt;height:71.7pt;z-index:251661312;visibility:visible;mso-wrap-style:none;mso-wrap-distance-left:9pt;mso-wrap-distance-top:0;mso-wrap-distance-right:9pt;mso-wrap-distance-bottom:0;mso-position-horizontal:absolute;mso-position-horizontal-relative:right-margin-area;mso-position-vertical:center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" filled="f" stroked="f" strokeweight=".5pt">
              <v:textbox style="layout-flow:vertical;mso-fit-shape-to-text:t">
                <w:txbxContent>
                  <w:p w14:paraId="3C360D95" w14:textId="77777777" w:rsidR="003B38DE" w:rsidRDefault="003B38DE" w:rsidP="003B38DE">
                    <w:pPr>
                      <w:jc w:val="left"/>
                    </w:pPr>
                    <w:r w:rsidRPr="003B38DE">
                      <w:rPr>
                        <w:color w:val="235C24"/>
                        <w:sz w:val="17"/>
                      </w:rPr>
                      <w:t>WTO - Internal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9F8A9B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F621F8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B00147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482682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48A12F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53FED"/>
    <w:multiLevelType w:val="hybridMultilevel"/>
    <w:tmpl w:val="472267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8C1C7B"/>
    <w:multiLevelType w:val="multilevel"/>
    <w:tmpl w:val="55F629E2"/>
    <w:lvl w:ilvl="0">
      <w:start w:val="1"/>
      <w:numFmt w:val="decimal"/>
      <w:pStyle w:val="Query"/>
      <w:lvlText w:val="%1."/>
      <w:lvlJc w:val="left"/>
      <w:pPr>
        <w:ind w:left="567" w:hanging="56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E948C5"/>
    <w:multiLevelType w:val="multilevel"/>
    <w:tmpl w:val="30B050F8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3" w15:restartNumberingAfterBreak="0">
    <w:nsid w:val="57454AB1"/>
    <w:multiLevelType w:val="multilevel"/>
    <w:tmpl w:val="CC52177C"/>
    <w:numStyleLink w:val="LegalHeadings"/>
  </w:abstractNum>
  <w:abstractNum w:abstractNumId="14" w15:restartNumberingAfterBreak="0">
    <w:nsid w:val="57551E12"/>
    <w:multiLevelType w:val="multilevel"/>
    <w:tmpl w:val="CC52177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701"/>
        </w:tabs>
        <w:ind w:left="1701" w:hanging="567"/>
      </w:pPr>
      <w:rPr>
        <w:rFonts w:hint="default"/>
      </w:rPr>
    </w:lvl>
  </w:abstractNum>
  <w:abstractNum w:abstractNumId="15" w15:restartNumberingAfterBreak="0">
    <w:nsid w:val="63D526BA"/>
    <w:multiLevelType w:val="hybridMultilevel"/>
    <w:tmpl w:val="5CB60482"/>
    <w:lvl w:ilvl="0" w:tplc="513E3446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46051334">
    <w:abstractNumId w:val="9"/>
  </w:num>
  <w:num w:numId="2" w16cid:durableId="1231503998">
    <w:abstractNumId w:val="7"/>
  </w:num>
  <w:num w:numId="3" w16cid:durableId="1967739684">
    <w:abstractNumId w:val="6"/>
  </w:num>
  <w:num w:numId="4" w16cid:durableId="72168637">
    <w:abstractNumId w:val="5"/>
  </w:num>
  <w:num w:numId="5" w16cid:durableId="340086167">
    <w:abstractNumId w:val="4"/>
  </w:num>
  <w:num w:numId="6" w16cid:durableId="1182205225">
    <w:abstractNumId w:val="14"/>
  </w:num>
  <w:num w:numId="7" w16cid:durableId="1295865260">
    <w:abstractNumId w:val="13"/>
  </w:num>
  <w:num w:numId="8" w16cid:durableId="805586851">
    <w:abstractNumId w:val="12"/>
  </w:num>
  <w:num w:numId="9" w16cid:durableId="138957599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24542413">
    <w:abstractNumId w:val="15"/>
  </w:num>
  <w:num w:numId="11" w16cid:durableId="11810538">
    <w:abstractNumId w:val="8"/>
  </w:num>
  <w:num w:numId="12" w16cid:durableId="238757986">
    <w:abstractNumId w:val="3"/>
  </w:num>
  <w:num w:numId="13" w16cid:durableId="1398743854">
    <w:abstractNumId w:val="2"/>
  </w:num>
  <w:num w:numId="14" w16cid:durableId="1204097025">
    <w:abstractNumId w:val="1"/>
  </w:num>
  <w:num w:numId="15" w16cid:durableId="270822767">
    <w:abstractNumId w:val="0"/>
  </w:num>
  <w:num w:numId="16" w16cid:durableId="1790397538">
    <w:abstractNumId w:val="10"/>
  </w:num>
  <w:num w:numId="17" w16cid:durableId="984817311">
    <w:abstractNumId w:val="12"/>
  </w:num>
  <w:num w:numId="18" w16cid:durableId="107767464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9D5"/>
    <w:rsid w:val="000106E0"/>
    <w:rsid w:val="000111BB"/>
    <w:rsid w:val="00022C0F"/>
    <w:rsid w:val="000272F6"/>
    <w:rsid w:val="00037AC4"/>
    <w:rsid w:val="000423BF"/>
    <w:rsid w:val="000A4945"/>
    <w:rsid w:val="000B31E1"/>
    <w:rsid w:val="0011356B"/>
    <w:rsid w:val="0013337F"/>
    <w:rsid w:val="00182A75"/>
    <w:rsid w:val="00182B84"/>
    <w:rsid w:val="001946F2"/>
    <w:rsid w:val="001D0F5C"/>
    <w:rsid w:val="001D5C2C"/>
    <w:rsid w:val="001E291F"/>
    <w:rsid w:val="002333AE"/>
    <w:rsid w:val="00233408"/>
    <w:rsid w:val="00237417"/>
    <w:rsid w:val="0027067B"/>
    <w:rsid w:val="002A15FB"/>
    <w:rsid w:val="002A6940"/>
    <w:rsid w:val="002E249B"/>
    <w:rsid w:val="00304385"/>
    <w:rsid w:val="00311BE2"/>
    <w:rsid w:val="00320249"/>
    <w:rsid w:val="003572B4"/>
    <w:rsid w:val="003616BF"/>
    <w:rsid w:val="00371F2B"/>
    <w:rsid w:val="00383F10"/>
    <w:rsid w:val="003B38DE"/>
    <w:rsid w:val="004551EC"/>
    <w:rsid w:val="00467032"/>
    <w:rsid w:val="0046754A"/>
    <w:rsid w:val="004A31FF"/>
    <w:rsid w:val="004F203A"/>
    <w:rsid w:val="00512FF5"/>
    <w:rsid w:val="005336B8"/>
    <w:rsid w:val="005558F3"/>
    <w:rsid w:val="005917B1"/>
    <w:rsid w:val="005B04B9"/>
    <w:rsid w:val="005B68C7"/>
    <w:rsid w:val="005B7054"/>
    <w:rsid w:val="005D0152"/>
    <w:rsid w:val="005D5981"/>
    <w:rsid w:val="005F30CB"/>
    <w:rsid w:val="00612644"/>
    <w:rsid w:val="006726CA"/>
    <w:rsid w:val="00674CCD"/>
    <w:rsid w:val="006A18DC"/>
    <w:rsid w:val="006C203F"/>
    <w:rsid w:val="006D6742"/>
    <w:rsid w:val="006E3654"/>
    <w:rsid w:val="006F5826"/>
    <w:rsid w:val="00700181"/>
    <w:rsid w:val="007141CF"/>
    <w:rsid w:val="00745146"/>
    <w:rsid w:val="0074635B"/>
    <w:rsid w:val="007577E3"/>
    <w:rsid w:val="00760DB3"/>
    <w:rsid w:val="00767204"/>
    <w:rsid w:val="0079332A"/>
    <w:rsid w:val="007C3936"/>
    <w:rsid w:val="007C79F0"/>
    <w:rsid w:val="007E6507"/>
    <w:rsid w:val="007F2B8E"/>
    <w:rsid w:val="007F2DB0"/>
    <w:rsid w:val="00801CBB"/>
    <w:rsid w:val="00807247"/>
    <w:rsid w:val="00840C2B"/>
    <w:rsid w:val="00850889"/>
    <w:rsid w:val="008739FD"/>
    <w:rsid w:val="00885649"/>
    <w:rsid w:val="008A7BB6"/>
    <w:rsid w:val="008C42C8"/>
    <w:rsid w:val="008E372C"/>
    <w:rsid w:val="00920FD4"/>
    <w:rsid w:val="00947C09"/>
    <w:rsid w:val="009A6F54"/>
    <w:rsid w:val="009A7E67"/>
    <w:rsid w:val="009B0823"/>
    <w:rsid w:val="009D0E69"/>
    <w:rsid w:val="00A01A06"/>
    <w:rsid w:val="00A53DCE"/>
    <w:rsid w:val="00A6057A"/>
    <w:rsid w:val="00A63124"/>
    <w:rsid w:val="00A6787A"/>
    <w:rsid w:val="00A74017"/>
    <w:rsid w:val="00A97A1E"/>
    <w:rsid w:val="00AA332C"/>
    <w:rsid w:val="00AC24C7"/>
    <w:rsid w:val="00AC27F8"/>
    <w:rsid w:val="00AD4C72"/>
    <w:rsid w:val="00AE20ED"/>
    <w:rsid w:val="00AE2AEE"/>
    <w:rsid w:val="00B1394B"/>
    <w:rsid w:val="00B230EC"/>
    <w:rsid w:val="00B415B8"/>
    <w:rsid w:val="00B50DC4"/>
    <w:rsid w:val="00B56EDC"/>
    <w:rsid w:val="00B67C16"/>
    <w:rsid w:val="00BB1F84"/>
    <w:rsid w:val="00BE5468"/>
    <w:rsid w:val="00C11EAC"/>
    <w:rsid w:val="00C305D7"/>
    <w:rsid w:val="00C30F2A"/>
    <w:rsid w:val="00C43456"/>
    <w:rsid w:val="00C65C0C"/>
    <w:rsid w:val="00C808FC"/>
    <w:rsid w:val="00CC5DCA"/>
    <w:rsid w:val="00CD7D97"/>
    <w:rsid w:val="00CE3EE6"/>
    <w:rsid w:val="00CE4BA1"/>
    <w:rsid w:val="00D000C7"/>
    <w:rsid w:val="00D52A9D"/>
    <w:rsid w:val="00D55AAD"/>
    <w:rsid w:val="00D747AE"/>
    <w:rsid w:val="00D9226C"/>
    <w:rsid w:val="00DA20BD"/>
    <w:rsid w:val="00DE50DB"/>
    <w:rsid w:val="00DF6AE1"/>
    <w:rsid w:val="00E46FD5"/>
    <w:rsid w:val="00E544BB"/>
    <w:rsid w:val="00E56545"/>
    <w:rsid w:val="00E85004"/>
    <w:rsid w:val="00EA5D4F"/>
    <w:rsid w:val="00EB37E3"/>
    <w:rsid w:val="00EB6C56"/>
    <w:rsid w:val="00EB6F21"/>
    <w:rsid w:val="00ED54E0"/>
    <w:rsid w:val="00ED69D5"/>
    <w:rsid w:val="00F01C13"/>
    <w:rsid w:val="00F32397"/>
    <w:rsid w:val="00F40595"/>
    <w:rsid w:val="00FA5EBC"/>
    <w:rsid w:val="00FD224A"/>
    <w:rsid w:val="00FD6CF3"/>
    <w:rsid w:val="00FD79BF"/>
    <w:rsid w:val="00FF4616"/>
    <w:rsid w:val="00FF4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32B9D8"/>
  <w15:chartTrackingRefBased/>
  <w15:docId w15:val="{264B0EA2-554F-46E7-ADEE-462B8E41C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2A75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022C0F"/>
    <w:pPr>
      <w:keepNext/>
      <w:keepLines/>
      <w:numPr>
        <w:numId w:val="6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022C0F"/>
    <w:pPr>
      <w:keepNext/>
      <w:keepLines/>
      <w:numPr>
        <w:ilvl w:val="1"/>
        <w:numId w:val="6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022C0F"/>
    <w:pPr>
      <w:keepNext/>
      <w:keepLines/>
      <w:numPr>
        <w:ilvl w:val="2"/>
        <w:numId w:val="6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022C0F"/>
    <w:pPr>
      <w:keepNext/>
      <w:keepLines/>
      <w:numPr>
        <w:ilvl w:val="3"/>
        <w:numId w:val="6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022C0F"/>
    <w:pPr>
      <w:keepNext/>
      <w:keepLines/>
      <w:numPr>
        <w:ilvl w:val="4"/>
        <w:numId w:val="6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022C0F"/>
    <w:pPr>
      <w:keepNext/>
      <w:keepLines/>
      <w:numPr>
        <w:ilvl w:val="5"/>
        <w:numId w:val="6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eastAsiaTheme="majorEastAsia" w:hAnsi="Verdan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eastAsiaTheme="majorEastAsia" w:hAnsi="Verdan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eastAsiaTheme="majorEastAsia" w:hAnsi="Verdan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eastAsiaTheme="majorEastAsia" w:hAnsi="Verdan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eastAsiaTheme="majorEastAsia" w:hAnsi="Verdan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eastAsiaTheme="majorEastAsia" w:hAnsi="Verdan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eastAsiaTheme="majorEastAsia" w:hAnsi="Verdan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eastAsiaTheme="majorEastAsia" w:hAnsi="Verdan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eastAsiaTheme="majorEastAsia" w:hAnsi="Verdan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eastAsiaTheme="majorEastAsia" w:hAnsi="Verdan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022C0F"/>
    <w:pPr>
      <w:numPr>
        <w:ilvl w:val="6"/>
        <w:numId w:val="6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6A18DC"/>
    <w:pPr>
      <w:numPr>
        <w:ilvl w:val="7"/>
        <w:numId w:val="6"/>
      </w:numPr>
      <w:tabs>
        <w:tab w:val="left" w:pos="1134"/>
      </w:tabs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6A18DC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022C0F"/>
    <w:pPr>
      <w:numPr>
        <w:ilvl w:val="8"/>
        <w:numId w:val="6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801CBB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022C0F"/>
    <w:pPr>
      <w:numPr>
        <w:numId w:val="6"/>
      </w:numPr>
    </w:pPr>
  </w:style>
  <w:style w:type="paragraph" w:styleId="ListBullet">
    <w:name w:val="List Bullet"/>
    <w:basedOn w:val="Normal"/>
    <w:uiPriority w:val="1"/>
    <w:rsid w:val="007F2DB0"/>
    <w:pPr>
      <w:numPr>
        <w:numId w:val="17"/>
      </w:numPr>
      <w:spacing w:after="240"/>
    </w:pPr>
  </w:style>
  <w:style w:type="paragraph" w:styleId="ListBullet2">
    <w:name w:val="List Bullet 2"/>
    <w:basedOn w:val="Normal"/>
    <w:uiPriority w:val="1"/>
    <w:rsid w:val="007F2DB0"/>
    <w:pPr>
      <w:numPr>
        <w:ilvl w:val="1"/>
        <w:numId w:val="17"/>
      </w:numPr>
      <w:tabs>
        <w:tab w:val="left" w:pos="1134"/>
      </w:tabs>
      <w:spacing w:after="240"/>
    </w:pPr>
  </w:style>
  <w:style w:type="paragraph" w:styleId="ListBullet3">
    <w:name w:val="List Bullet 3"/>
    <w:basedOn w:val="Normal"/>
    <w:uiPriority w:val="1"/>
    <w:qFormat/>
    <w:rsid w:val="007F2DB0"/>
    <w:pPr>
      <w:numPr>
        <w:ilvl w:val="2"/>
        <w:numId w:val="17"/>
      </w:numPr>
      <w:tabs>
        <w:tab w:val="left" w:pos="1701"/>
      </w:tabs>
      <w:spacing w:after="240"/>
    </w:pPr>
  </w:style>
  <w:style w:type="paragraph" w:styleId="ListBullet4">
    <w:name w:val="List Bullet 4"/>
    <w:basedOn w:val="Normal"/>
    <w:uiPriority w:val="1"/>
    <w:rsid w:val="007F2DB0"/>
    <w:pPr>
      <w:numPr>
        <w:ilvl w:val="3"/>
        <w:numId w:val="17"/>
      </w:numPr>
      <w:spacing w:after="240"/>
    </w:pPr>
  </w:style>
  <w:style w:type="paragraph" w:styleId="ListBullet5">
    <w:name w:val="List Bullet 5"/>
    <w:basedOn w:val="Normal"/>
    <w:uiPriority w:val="1"/>
    <w:rsid w:val="007F2DB0"/>
    <w:pPr>
      <w:numPr>
        <w:ilvl w:val="4"/>
        <w:numId w:val="17"/>
      </w:numPr>
      <w:spacing w:after="240"/>
    </w:pPr>
  </w:style>
  <w:style w:type="numbering" w:customStyle="1" w:styleId="ListBullets">
    <w:name w:val="ListBullets"/>
    <w:uiPriority w:val="99"/>
    <w:rsid w:val="007F2DB0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99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99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uiPriority w:val="5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AC24C7"/>
    <w:pPr>
      <w:tabs>
        <w:tab w:val="left" w:pos="851"/>
        <w:tab w:val="right" w:leader="dot" w:pos="9027"/>
      </w:tabs>
      <w:spacing w:before="120" w:after="120"/>
      <w:ind w:left="567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5D0152"/>
    <w:pPr>
      <w:tabs>
        <w:tab w:val="left" w:pos="851"/>
        <w:tab w:val="left" w:pos="1134"/>
        <w:tab w:val="right" w:leader="dot" w:pos="9027"/>
      </w:tabs>
      <w:spacing w:before="120" w:after="120"/>
      <w:ind w:lef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5D0152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B415B8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eastAsiaTheme="majorEastAsia" w:hAnsi="Verdan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B415B8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AE20ED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1D0F5C"/>
  </w:style>
  <w:style w:type="paragraph" w:styleId="BlockText">
    <w:name w:val="Block Text"/>
    <w:basedOn w:val="Normal"/>
    <w:uiPriority w:val="99"/>
    <w:semiHidden/>
    <w:unhideWhenUsed/>
    <w:rsid w:val="001D0F5C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1D0F5C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D0F5C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D0F5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D0F5C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D0F5C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D0F5C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D0F5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D0F5C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D0F5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D0F5C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1D0F5C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1D0F5C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D0F5C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D0F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D0F5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0F5C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1D0F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0F5C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1D0F5C"/>
  </w:style>
  <w:style w:type="character" w:customStyle="1" w:styleId="DateChar">
    <w:name w:val="Date Char"/>
    <w:basedOn w:val="DefaultParagraphFont"/>
    <w:link w:val="Date"/>
    <w:uiPriority w:val="99"/>
    <w:semiHidden/>
    <w:rsid w:val="001D0F5C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D0F5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D0F5C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D0F5C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D0F5C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1D0F5C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1D0F5C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D0F5C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1D0F5C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1D0F5C"/>
  </w:style>
  <w:style w:type="paragraph" w:styleId="HTMLAddress">
    <w:name w:val="HTML Address"/>
    <w:basedOn w:val="Normal"/>
    <w:link w:val="HTMLAddressChar"/>
    <w:uiPriority w:val="99"/>
    <w:semiHidden/>
    <w:unhideWhenUsed/>
    <w:rsid w:val="001D0F5C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D0F5C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1D0F5C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D0F5C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1D0F5C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1D0F5C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D0F5C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D0F5C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1D0F5C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1D0F5C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D0F5C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D0F5C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D0F5C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D0F5C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D0F5C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D0F5C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D0F5C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D0F5C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D0F5C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D0F5C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D0F5C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1D0F5C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1D0F5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1D0F5C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1D0F5C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1D0F5C"/>
  </w:style>
  <w:style w:type="paragraph" w:styleId="List">
    <w:name w:val="List"/>
    <w:basedOn w:val="Normal"/>
    <w:uiPriority w:val="99"/>
    <w:semiHidden/>
    <w:unhideWhenUsed/>
    <w:rsid w:val="001D0F5C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1D0F5C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1D0F5C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1D0F5C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1D0F5C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1D0F5C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D0F5C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D0F5C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D0F5C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D0F5C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1D0F5C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1D0F5C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1D0F5C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1D0F5C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1D0F5C"/>
    <w:pPr>
      <w:numPr>
        <w:numId w:val="1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1D0F5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D0F5C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D0F5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D0F5C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1D0F5C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1D0F5C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1D0F5C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D0F5C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D0F5C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1D0F5C"/>
  </w:style>
  <w:style w:type="character" w:styleId="PlaceholderText">
    <w:name w:val="Placeholder Text"/>
    <w:basedOn w:val="DefaultParagraphFont"/>
    <w:uiPriority w:val="99"/>
    <w:semiHidden/>
    <w:rsid w:val="001D0F5C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1D0F5C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D0F5C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1D0F5C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1D0F5C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D0F5C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D0F5C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D0F5C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D0F5C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1D0F5C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1D0F5C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1D0F5C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1D0F5C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F01C13"/>
    <w:pPr>
      <w:spacing w:after="240"/>
      <w:jc w:val="center"/>
    </w:pPr>
    <w:rPr>
      <w:rFonts w:eastAsia="Calibri" w:cs="Times New Roman"/>
      <w:color w:val="006283"/>
    </w:rPr>
  </w:style>
  <w:style w:type="paragraph" w:customStyle="1" w:styleId="Query">
    <w:name w:val="Query"/>
    <w:qFormat/>
    <w:rsid w:val="00A6787A"/>
    <w:pPr>
      <w:numPr>
        <w:numId w:val="18"/>
      </w:numPr>
      <w:spacing w:before="240"/>
      <w:jc w:val="both"/>
    </w:pPr>
    <w:rPr>
      <w:rFonts w:ascii="Verdana" w:hAnsi="Verdana"/>
      <w:sz w:val="18"/>
      <w:u w:val="single"/>
    </w:rPr>
  </w:style>
  <w:style w:type="paragraph" w:customStyle="1" w:styleId="NoteTextSource">
    <w:name w:val="Note Text Source"/>
    <w:basedOn w:val="Normal"/>
    <w:uiPriority w:val="4"/>
    <w:qFormat/>
    <w:rsid w:val="0079332A"/>
    <w:pPr>
      <w:spacing w:before="120" w:after="240"/>
      <w:ind w:left="851" w:hanging="851"/>
      <w:jc w:val="left"/>
    </w:pPr>
    <w:rPr>
      <w:sz w:val="16"/>
    </w:rPr>
  </w:style>
  <w:style w:type="paragraph" w:customStyle="1" w:styleId="Char1CharChar">
    <w:name w:val="Char1 Char Char"/>
    <w:basedOn w:val="Normal"/>
    <w:rsid w:val="00ED69D5"/>
    <w:pPr>
      <w:spacing w:after="160" w:line="240" w:lineRule="exact"/>
      <w:jc w:val="left"/>
    </w:pPr>
    <w:rPr>
      <w:rFonts w:ascii="Arial" w:eastAsia="Times New Roman" w:hAnsi="Arial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itus xmlns="http://schemas.titus.com/TitusProperties/">
  <TitusGUID xmlns="">f2c223b3-1492-478d-a968-90305a4b667a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B7BB0B42-78D4-422A-99BF-09184B927B13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665</Words>
  <Characters>4560</Characters>
  <Application>Microsoft Office Word</Application>
  <DocSecurity>0</DocSecurity>
  <Lines>147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WTO</Company>
  <LinksUpToDate>false</LinksUpToDate>
  <CharactersWithSpaces>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Jelitto, Markus</dc:creator>
  <cp:keywords/>
  <dc:description/>
  <cp:lastModifiedBy>Jelitto, Markus</cp:lastModifiedBy>
  <cp:revision>3</cp:revision>
  <dcterms:created xsi:type="dcterms:W3CDTF">2026-10-07T14:57:00Z</dcterms:created>
  <dcterms:modified xsi:type="dcterms:W3CDTF">2026-10-07T15:52:00Z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f2c223b3-1492-478d-a968-90305a4b667a</vt:lpwstr>
  </property>
  <property fmtid="{D5CDD505-2E9C-101B-9397-08002B2CF9AE}" pid="3" name="WTOCLASSIFICATION">
    <vt:lpwstr>INTERNAL</vt:lpwstr>
  </property>
</Properties>
</file>