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1BEA" w14:textId="77777777" w:rsidR="00F17B8D" w:rsidRDefault="00F17B8D" w:rsidP="00D5242B">
      <w:pPr>
        <w:contextualSpacing/>
        <w:jc w:val="center"/>
        <w:rPr>
          <w:rFonts w:ascii="Calibri" w:eastAsia="MS Gothic" w:hAnsi="Calibri"/>
          <w:b/>
          <w:caps/>
          <w:color w:val="006283"/>
          <w:kern w:val="28"/>
          <w:sz w:val="24"/>
          <w:szCs w:val="24"/>
        </w:rPr>
      </w:pPr>
    </w:p>
    <w:p w14:paraId="608A2E05" w14:textId="77777777" w:rsidR="00F17B8D" w:rsidRDefault="00F17B8D" w:rsidP="00D5242B">
      <w:pPr>
        <w:contextualSpacing/>
        <w:jc w:val="center"/>
        <w:rPr>
          <w:rFonts w:ascii="Calibri" w:eastAsia="MS Gothic" w:hAnsi="Calibri"/>
          <w:b/>
          <w:caps/>
          <w:color w:val="006283"/>
          <w:kern w:val="28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2298"/>
        <w:gridCol w:w="2538"/>
        <w:gridCol w:w="2333"/>
      </w:tblGrid>
      <w:tr w:rsidR="00F17B8D" w14:paraId="054067EF" w14:textId="77777777" w:rsidTr="00F17B8D">
        <w:trPr>
          <w:trHeight w:val="1934"/>
        </w:trPr>
        <w:tc>
          <w:tcPr>
            <w:tcW w:w="1987" w:type="dxa"/>
          </w:tcPr>
          <w:p w14:paraId="12DD2509" w14:textId="55F00520" w:rsidR="00F17B8D" w:rsidRDefault="00F17B8D">
            <w:r>
              <w:rPr>
                <w:noProof/>
              </w:rPr>
              <w:drawing>
                <wp:inline distT="0" distB="0" distL="0" distR="0" wp14:anchorId="1A7F615F" wp14:editId="2DEF71DD">
                  <wp:extent cx="812800" cy="9842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28FE1" w14:textId="77777777" w:rsidR="00F17B8D" w:rsidRDefault="00F17B8D"/>
        </w:tc>
        <w:tc>
          <w:tcPr>
            <w:tcW w:w="2391" w:type="dxa"/>
            <w:hideMark/>
          </w:tcPr>
          <w:p w14:paraId="36B67AC3" w14:textId="2D2DB7E0" w:rsidR="00F17B8D" w:rsidRDefault="00F17B8D">
            <w:r>
              <w:rPr>
                <w:noProof/>
              </w:rPr>
              <w:drawing>
                <wp:inline distT="0" distB="0" distL="0" distR="0" wp14:anchorId="23C72B44" wp14:editId="363F15A2">
                  <wp:extent cx="11620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  <w:hideMark/>
          </w:tcPr>
          <w:p w14:paraId="11906462" w14:textId="7EA01B5F" w:rsidR="00F17B8D" w:rsidRDefault="00F17B8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39A8F" wp14:editId="7C7A65CB">
                  <wp:extent cx="1181100" cy="80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hideMark/>
          </w:tcPr>
          <w:p w14:paraId="6B67B966" w14:textId="3A5D7D64" w:rsidR="00F17B8D" w:rsidRDefault="00F17B8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592F7C" wp14:editId="0F5B3DC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59690</wp:posOffset>
                  </wp:positionV>
                  <wp:extent cx="1840230" cy="1102360"/>
                  <wp:effectExtent l="0" t="0" r="762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102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F1A45B" w14:textId="77777777" w:rsidR="00F17B8D" w:rsidRDefault="00F17B8D" w:rsidP="00D5242B">
      <w:pPr>
        <w:contextualSpacing/>
        <w:jc w:val="center"/>
        <w:rPr>
          <w:rFonts w:ascii="Calibri" w:eastAsia="MS Gothic" w:hAnsi="Calibri"/>
          <w:b/>
          <w:caps/>
          <w:color w:val="006283"/>
          <w:kern w:val="28"/>
          <w:sz w:val="24"/>
          <w:szCs w:val="24"/>
        </w:rPr>
      </w:pPr>
    </w:p>
    <w:p w14:paraId="7D9E8A55" w14:textId="2C428B95" w:rsidR="00D5242B" w:rsidRPr="00782A95" w:rsidRDefault="00D5242B" w:rsidP="00D5242B">
      <w:pPr>
        <w:contextualSpacing/>
        <w:jc w:val="center"/>
        <w:rPr>
          <w:rFonts w:eastAsia="MS Gothic"/>
          <w:b/>
          <w:caps/>
          <w:color w:val="006283"/>
          <w:kern w:val="28"/>
          <w:sz w:val="20"/>
          <w:szCs w:val="20"/>
        </w:rPr>
      </w:pPr>
      <w:r w:rsidRPr="00782A95">
        <w:rPr>
          <w:rFonts w:eastAsia="MS Gothic"/>
          <w:b/>
          <w:caps/>
          <w:color w:val="006283"/>
          <w:kern w:val="28"/>
          <w:sz w:val="20"/>
          <w:szCs w:val="20"/>
        </w:rPr>
        <w:t>Third Regional DIALOGUE on WTO Accessions for THE ARAB REGION</w:t>
      </w:r>
    </w:p>
    <w:p w14:paraId="462DEB98" w14:textId="77777777" w:rsidR="00D5242B" w:rsidRPr="00782A95" w:rsidRDefault="00D5242B" w:rsidP="00D5242B">
      <w:pPr>
        <w:contextualSpacing/>
        <w:rPr>
          <w:rFonts w:eastAsia="MS Gothic"/>
          <w:b/>
          <w:caps/>
          <w:color w:val="006283"/>
          <w:kern w:val="28"/>
          <w:sz w:val="20"/>
          <w:szCs w:val="20"/>
        </w:rPr>
      </w:pPr>
    </w:p>
    <w:p w14:paraId="6AB404DA" w14:textId="04C04082" w:rsidR="00D5242B" w:rsidRPr="00DA1266" w:rsidRDefault="00D5242B" w:rsidP="00D5242B">
      <w:pPr>
        <w:jc w:val="center"/>
        <w:rPr>
          <w:i/>
          <w:iCs/>
          <w:caps/>
          <w:color w:val="006283"/>
          <w:sz w:val="22"/>
          <w:lang w:eastAsia="zh-CN"/>
        </w:rPr>
      </w:pPr>
      <w:r w:rsidRPr="00DA1266">
        <w:rPr>
          <w:caps/>
          <w:color w:val="006283"/>
          <w:sz w:val="22"/>
          <w:lang w:eastAsia="zh-CN"/>
        </w:rPr>
        <w:t>"</w:t>
      </w:r>
      <w:r w:rsidRPr="00DA1266">
        <w:rPr>
          <w:i/>
          <w:iCs/>
          <w:caps/>
          <w:color w:val="006283"/>
          <w:sz w:val="22"/>
          <w:lang w:eastAsia="zh-CN"/>
        </w:rPr>
        <w:t>Best practiCes in wto accessions for arab countries"</w:t>
      </w:r>
    </w:p>
    <w:p w14:paraId="172B08D9" w14:textId="77777777" w:rsidR="00D5242B" w:rsidRPr="00DA1266" w:rsidRDefault="00D5242B" w:rsidP="00D5242B">
      <w:pPr>
        <w:rPr>
          <w:caps/>
          <w:color w:val="006283"/>
          <w:sz w:val="22"/>
          <w:lang w:eastAsia="zh-CN"/>
        </w:rPr>
      </w:pPr>
    </w:p>
    <w:p w14:paraId="68FF24A7" w14:textId="77777777" w:rsidR="00D5242B" w:rsidRPr="00DA1266" w:rsidRDefault="00D5242B" w:rsidP="00D5242B">
      <w:pPr>
        <w:jc w:val="center"/>
        <w:rPr>
          <w:i/>
          <w:color w:val="006283"/>
          <w:sz w:val="22"/>
          <w:lang w:eastAsia="en-GB"/>
        </w:rPr>
      </w:pPr>
      <w:r w:rsidRPr="00DA1266">
        <w:rPr>
          <w:i/>
          <w:color w:val="006283"/>
          <w:sz w:val="22"/>
          <w:lang w:eastAsia="en-GB"/>
        </w:rPr>
        <w:t>Abu Dhabi, United Arab Emirates</w:t>
      </w:r>
    </w:p>
    <w:p w14:paraId="1F2E00DF" w14:textId="77777777" w:rsidR="00D5242B" w:rsidRPr="00DA1266" w:rsidRDefault="00D5242B" w:rsidP="00D5242B">
      <w:pPr>
        <w:jc w:val="center"/>
        <w:rPr>
          <w:caps/>
          <w:color w:val="006283"/>
          <w:sz w:val="22"/>
          <w:lang w:eastAsia="zh-CN"/>
        </w:rPr>
      </w:pPr>
    </w:p>
    <w:p w14:paraId="42E43B8F" w14:textId="7EB7C89C" w:rsidR="00D5242B" w:rsidRPr="00782A95" w:rsidRDefault="00D5242B" w:rsidP="00D5242B">
      <w:pPr>
        <w:spacing w:after="120"/>
        <w:jc w:val="center"/>
        <w:rPr>
          <w:i/>
          <w:color w:val="006283"/>
          <w:sz w:val="20"/>
          <w:szCs w:val="20"/>
          <w:lang w:eastAsia="en-GB"/>
        </w:rPr>
      </w:pPr>
      <w:r w:rsidRPr="00782A95">
        <w:rPr>
          <w:i/>
          <w:color w:val="006283"/>
          <w:sz w:val="20"/>
          <w:szCs w:val="20"/>
          <w:lang w:eastAsia="en-GB"/>
        </w:rPr>
        <w:t>31 October- 2 N</w:t>
      </w:r>
      <w:bookmarkStart w:id="0" w:name="_Hlk134441917"/>
      <w:r w:rsidRPr="00782A95">
        <w:rPr>
          <w:i/>
          <w:color w:val="006283"/>
          <w:sz w:val="20"/>
          <w:szCs w:val="20"/>
          <w:lang w:eastAsia="en-GB"/>
        </w:rPr>
        <w:t>ovembe</w:t>
      </w:r>
      <w:bookmarkEnd w:id="0"/>
      <w:r w:rsidRPr="00782A95">
        <w:rPr>
          <w:i/>
          <w:color w:val="006283"/>
          <w:sz w:val="20"/>
          <w:szCs w:val="20"/>
          <w:lang w:eastAsia="en-GB"/>
        </w:rPr>
        <w:t>r 2023</w:t>
      </w:r>
    </w:p>
    <w:p w14:paraId="62F14574" w14:textId="77777777" w:rsidR="001A431F" w:rsidRDefault="001A431F" w:rsidP="001A431F"/>
    <w:p w14:paraId="5D026DDF" w14:textId="478D52A9" w:rsidR="001A431F" w:rsidRDefault="001A431F" w:rsidP="001A431F">
      <w:r>
        <w:t xml:space="preserve">The Arab region comprises eight acceding governments (Algeria, Comoros, Iraq, Lebanese Republic, Libya, Somalia, </w:t>
      </w:r>
      <w:proofErr w:type="gramStart"/>
      <w:r>
        <w:t>Sudan</w:t>
      </w:r>
      <w:proofErr w:type="gramEnd"/>
      <w:r>
        <w:t xml:space="preserve"> and Syrian Arab Republic), accounting for more than one third of ongoing WTO accessions. Four Arab countries (the Kingdom of Jordan, the Sultanate of Oman, the Kingdom of Saudi </w:t>
      </w:r>
      <w:proofErr w:type="gramStart"/>
      <w:r>
        <w:t>Arabia</w:t>
      </w:r>
      <w:proofErr w:type="gramEnd"/>
      <w:r>
        <w:t xml:space="preserve"> and Yemen) have acceded to the WTO since its establishment in 1995.</w:t>
      </w:r>
      <w:r w:rsidR="00DA1266">
        <w:t xml:space="preserve"> Palestine continues to seek observer status to WTO ministerial conferences.</w:t>
      </w:r>
      <w:r>
        <w:t xml:space="preserve"> </w:t>
      </w:r>
      <w:proofErr w:type="gramStart"/>
      <w:r>
        <w:t>The majority of</w:t>
      </w:r>
      <w:proofErr w:type="gramEnd"/>
      <w:r>
        <w:t xml:space="preserve"> Arab countries wh</w:t>
      </w:r>
      <w:r w:rsidR="00B80CDB">
        <w:t>o</w:t>
      </w:r>
      <w:r>
        <w:t xml:space="preserve"> are still outside the WTO, face a multitude of challenges that go beyond trade. These challenges have been exacerbated by the </w:t>
      </w:r>
      <w:r w:rsidR="00B80CDB">
        <w:t xml:space="preserve">current </w:t>
      </w:r>
      <w:r>
        <w:t xml:space="preserve">global </w:t>
      </w:r>
      <w:r w:rsidR="00B80CDB">
        <w:t>crises</w:t>
      </w:r>
      <w:r>
        <w:t xml:space="preserve">. </w:t>
      </w:r>
    </w:p>
    <w:p w14:paraId="413DF215" w14:textId="77777777" w:rsidR="001A431F" w:rsidRDefault="001A431F" w:rsidP="001A431F">
      <w:pPr>
        <w:ind w:firstLine="567"/>
      </w:pPr>
    </w:p>
    <w:p w14:paraId="007CE2F4" w14:textId="68B576D8" w:rsidR="001A431F" w:rsidRDefault="001A431F" w:rsidP="001A431F">
      <w:r>
        <w:t>As a follow up to the successful second High-Level Regional Dialogue on WTO Accessions which took place on 8-10 November 2021</w:t>
      </w:r>
      <w:r w:rsidRPr="00E8627C">
        <w:t xml:space="preserve"> </w:t>
      </w:r>
      <w:r>
        <w:t>under the theme</w:t>
      </w:r>
      <w:r w:rsidR="00DA1266">
        <w:t xml:space="preserve"> </w:t>
      </w:r>
      <w:r>
        <w:t>"</w:t>
      </w:r>
      <w:r w:rsidRPr="00664D2E">
        <w:t>Arab Perspectives on WTO Accessions</w:t>
      </w:r>
      <w:r>
        <w:t xml:space="preserve"> and the Multilateral Trading System", t</w:t>
      </w:r>
      <w:r w:rsidRPr="00DE516E">
        <w:t xml:space="preserve">he </w:t>
      </w:r>
      <w:r w:rsidR="00664D2E">
        <w:t>third</w:t>
      </w:r>
      <w:r w:rsidRPr="00DE516E">
        <w:t xml:space="preserve"> Regional Dialogue</w:t>
      </w:r>
      <w:r>
        <w:t xml:space="preserve"> </w:t>
      </w:r>
      <w:r w:rsidR="00664D2E">
        <w:t>will be</w:t>
      </w:r>
      <w:r>
        <w:t xml:space="preserve"> organized </w:t>
      </w:r>
      <w:r w:rsidR="00664D2E">
        <w:t>in-person</w:t>
      </w:r>
      <w:r>
        <w:t xml:space="preserve"> in collaboration with the Arab Monetary Fund (AMF)</w:t>
      </w:r>
      <w:r w:rsidR="00975762">
        <w:t>,</w:t>
      </w:r>
      <w:r>
        <w:t xml:space="preserve"> </w:t>
      </w:r>
      <w:r w:rsidR="00975762">
        <w:t>t</w:t>
      </w:r>
      <w:r>
        <w:t xml:space="preserve">he Islamic Development Bank (IsDB) </w:t>
      </w:r>
      <w:r w:rsidR="00975762">
        <w:t xml:space="preserve">and the Islamic Centre for Development of Trade (ICDT) </w:t>
      </w:r>
      <w:r>
        <w:t xml:space="preserve">on </w:t>
      </w:r>
      <w:r w:rsidR="00664D2E">
        <w:t>31 October - 2</w:t>
      </w:r>
      <w:r>
        <w:t xml:space="preserve"> November 202</w:t>
      </w:r>
      <w:r w:rsidR="00664D2E">
        <w:t>3 in Abu Dhabi, United Arab Emirates.</w:t>
      </w:r>
      <w:r>
        <w:t xml:space="preserve"> The event will </w:t>
      </w:r>
      <w:r w:rsidR="00DA1266">
        <w:t>deliberate on</w:t>
      </w:r>
      <w:r w:rsidR="00664D2E">
        <w:t xml:space="preserve"> the "Best Practices in WTO Accessions for Arab Countries", which is the thematic focus </w:t>
      </w:r>
      <w:r w:rsidR="002B69BC">
        <w:t>for</w:t>
      </w:r>
      <w:r w:rsidR="00664D2E">
        <w:t xml:space="preserve"> this</w:t>
      </w:r>
      <w:r w:rsidR="002B69BC">
        <w:t xml:space="preserve"> year's</w:t>
      </w:r>
      <w:r w:rsidR="00664D2E">
        <w:t xml:space="preserve"> dialogue. The sessions will </w:t>
      </w:r>
      <w:r w:rsidR="00DA1266">
        <w:t>include</w:t>
      </w:r>
      <w:r>
        <w:t xml:space="preserve"> </w:t>
      </w:r>
      <w:r w:rsidR="002B69BC">
        <w:t>Arab participation in the WTO</w:t>
      </w:r>
      <w:r>
        <w:t>, t</w:t>
      </w:r>
      <w:r w:rsidR="002B69BC">
        <w:t>he state of play of WTO accessions in the Arab Region</w:t>
      </w:r>
      <w:r>
        <w:t>, and potential solutions to assist acceding governments</w:t>
      </w:r>
      <w:r w:rsidR="00DA1266">
        <w:t xml:space="preserve"> meet their accession-related challenges</w:t>
      </w:r>
      <w:r>
        <w:t>. Moreover, the regional dialogue will</w:t>
      </w:r>
      <w:r w:rsidR="002B69BC">
        <w:t xml:space="preserve"> be presenting the Joint Arab Study for WTO Accessions</w:t>
      </w:r>
      <w:r w:rsidR="000511A9">
        <w:t xml:space="preserve"> which is an integral part of this year</w:t>
      </w:r>
      <w:r w:rsidR="00DA1266">
        <w:t>'</w:t>
      </w:r>
      <w:r w:rsidR="000511A9">
        <w:t>s dialogue.</w:t>
      </w:r>
    </w:p>
    <w:p w14:paraId="521B5D84" w14:textId="77777777" w:rsidR="001A431F" w:rsidRDefault="001A431F" w:rsidP="001A431F">
      <w:pPr>
        <w:ind w:firstLine="567"/>
      </w:pPr>
    </w:p>
    <w:p w14:paraId="7EDF779A" w14:textId="6AB3DE5F" w:rsidR="001A431F" w:rsidRDefault="001A431F" w:rsidP="001A431F">
      <w:r>
        <w:t xml:space="preserve">The </w:t>
      </w:r>
      <w:r w:rsidR="002B69BC">
        <w:t>Third</w:t>
      </w:r>
      <w:r>
        <w:t xml:space="preserve"> High-Level Regional Dialogue is organized to </w:t>
      </w:r>
      <w:r w:rsidR="002B69BC">
        <w:t>revive</w:t>
      </w:r>
      <w:r>
        <w:t xml:space="preserve"> the momentum among Arab acceding governments to help them advance closer to WTO Membership. Specific objectives of the event can include </w:t>
      </w:r>
      <w:proofErr w:type="spellStart"/>
      <w:r w:rsidRPr="00E8627C">
        <w:rPr>
          <w:i/>
          <w:iCs/>
        </w:rPr>
        <w:t>interalia</w:t>
      </w:r>
      <w:proofErr w:type="spellEnd"/>
      <w:r>
        <w:t xml:space="preserve">: </w:t>
      </w:r>
    </w:p>
    <w:p w14:paraId="5DFC54C4" w14:textId="77777777" w:rsidR="001A431F" w:rsidRDefault="001A431F" w:rsidP="001A431F"/>
    <w:p w14:paraId="344CCCEE" w14:textId="09F7D853" w:rsidR="001A431F" w:rsidRDefault="001A431F" w:rsidP="001A431F">
      <w:pPr>
        <w:ind w:left="567"/>
      </w:pPr>
      <w:r>
        <w:t xml:space="preserve">1. To increase participants’ knowledge </w:t>
      </w:r>
      <w:r w:rsidR="00437A4E">
        <w:t>on</w:t>
      </w:r>
      <w:r>
        <w:t xml:space="preserve"> the </w:t>
      </w:r>
      <w:r w:rsidRPr="00DA1266">
        <w:rPr>
          <w:b/>
          <w:bCs/>
        </w:rPr>
        <w:t>WTO accession process</w:t>
      </w:r>
      <w:r w:rsidR="00437A4E" w:rsidRPr="00DA1266">
        <w:rPr>
          <w:b/>
          <w:bCs/>
        </w:rPr>
        <w:t>,</w:t>
      </w:r>
      <w:r w:rsidR="00B609F2" w:rsidRPr="00DA1266">
        <w:rPr>
          <w:b/>
          <w:bCs/>
        </w:rPr>
        <w:t xml:space="preserve"> Arab Participation in the WTO</w:t>
      </w:r>
      <w:r w:rsidR="00437A4E" w:rsidRPr="00DA1266">
        <w:rPr>
          <w:b/>
          <w:bCs/>
        </w:rPr>
        <w:t>, and the State-of-play of on-going Arab accessions</w:t>
      </w:r>
      <w:r w:rsidR="00437A4E" w:rsidRPr="00DA1266">
        <w:t>.</w:t>
      </w:r>
    </w:p>
    <w:p w14:paraId="015E8541" w14:textId="77777777" w:rsidR="001A431F" w:rsidRDefault="001A431F" w:rsidP="001A431F"/>
    <w:p w14:paraId="222ACA55" w14:textId="2F586384" w:rsidR="001A431F" w:rsidRPr="00DA1266" w:rsidRDefault="001A431F" w:rsidP="001A431F">
      <w:pPr>
        <w:ind w:left="567"/>
        <w:rPr>
          <w:b/>
          <w:bCs/>
        </w:rPr>
      </w:pPr>
      <w:r>
        <w:t xml:space="preserve">2. To </w:t>
      </w:r>
      <w:r w:rsidR="00B609F2">
        <w:t>present</w:t>
      </w:r>
      <w:r w:rsidRPr="001469E5">
        <w:t xml:space="preserve"> </w:t>
      </w:r>
      <w:r w:rsidR="00B609F2" w:rsidRPr="00437A4E">
        <w:t>the</w:t>
      </w:r>
      <w:r w:rsidR="00B609F2" w:rsidRPr="00DA1266">
        <w:t xml:space="preserve"> main topics under negotiations at the WTO and </w:t>
      </w:r>
      <w:r w:rsidR="00B609F2" w:rsidRPr="00DA1266">
        <w:rPr>
          <w:b/>
          <w:bCs/>
        </w:rPr>
        <w:t xml:space="preserve">the deliverables of MC13 </w:t>
      </w:r>
      <w:r w:rsidR="00DA1266" w:rsidRPr="00DA1266">
        <w:rPr>
          <w:b/>
          <w:bCs/>
        </w:rPr>
        <w:t>from an Arab perspective</w:t>
      </w:r>
      <w:r w:rsidR="00437A4E" w:rsidRPr="00DA1266">
        <w:rPr>
          <w:b/>
          <w:bCs/>
        </w:rPr>
        <w:t>.</w:t>
      </w:r>
    </w:p>
    <w:p w14:paraId="5EA0EFCD" w14:textId="77777777" w:rsidR="001A431F" w:rsidRDefault="001A431F" w:rsidP="001A431F"/>
    <w:p w14:paraId="6DBE4767" w14:textId="1713B370" w:rsidR="000511A9" w:rsidRDefault="000511A9" w:rsidP="000511A9">
      <w:pPr>
        <w:ind w:left="567"/>
      </w:pPr>
      <w:r>
        <w:t xml:space="preserve">4. </w:t>
      </w:r>
      <w:r w:rsidRPr="00DA1266">
        <w:t xml:space="preserve">To present the </w:t>
      </w:r>
      <w:r w:rsidRPr="00DA1266">
        <w:rPr>
          <w:b/>
          <w:bCs/>
        </w:rPr>
        <w:t>main findings and recommendations of the Joint Arab Study</w:t>
      </w:r>
      <w:r w:rsidRPr="00DA1266">
        <w:t xml:space="preserve"> for WTO Accessions</w:t>
      </w:r>
      <w:r w:rsidR="00B80CDB">
        <w:t xml:space="preserve"> by</w:t>
      </w:r>
      <w:r w:rsidR="00DA1266">
        <w:t xml:space="preserve"> shar</w:t>
      </w:r>
      <w:r w:rsidR="00B80CDB">
        <w:t>ing</w:t>
      </w:r>
      <w:r w:rsidR="00DA1266">
        <w:t xml:space="preserve"> experiences and lessons learned.</w:t>
      </w:r>
    </w:p>
    <w:p w14:paraId="621DB08A" w14:textId="77777777" w:rsidR="001A431F" w:rsidRDefault="001A431F" w:rsidP="001A431F"/>
    <w:p w14:paraId="280A7D38" w14:textId="23AAEBBD" w:rsidR="001A431F" w:rsidRDefault="000511A9" w:rsidP="001A431F">
      <w:pPr>
        <w:ind w:left="567"/>
      </w:pPr>
      <w:r>
        <w:t>5</w:t>
      </w:r>
      <w:r w:rsidR="001A431F">
        <w:t xml:space="preserve">. To identify and mobilize </w:t>
      </w:r>
      <w:r w:rsidR="001A431F" w:rsidRPr="00A14983">
        <w:rPr>
          <w:b/>
          <w:bCs/>
        </w:rPr>
        <w:t>technical assistance support</w:t>
      </w:r>
      <w:r w:rsidR="001A431F">
        <w:t xml:space="preserve"> to facilitate and accelerate ongoing Arab accessions in collaboration with development partners. </w:t>
      </w:r>
    </w:p>
    <w:p w14:paraId="35729414" w14:textId="77777777" w:rsidR="001A431F" w:rsidRDefault="001A431F" w:rsidP="001A431F"/>
    <w:p w14:paraId="07A788BA" w14:textId="01C24EFD" w:rsidR="001A431F" w:rsidRDefault="000511A9" w:rsidP="001A431F">
      <w:pPr>
        <w:ind w:left="567"/>
      </w:pPr>
      <w:r>
        <w:t>6</w:t>
      </w:r>
      <w:r w:rsidR="001A431F">
        <w:t xml:space="preserve">. To discuss the role of the </w:t>
      </w:r>
      <w:r w:rsidR="001A431F" w:rsidRPr="00A14983">
        <w:rPr>
          <w:b/>
          <w:bCs/>
        </w:rPr>
        <w:t>Trade for Peace</w:t>
      </w:r>
      <w:r w:rsidR="001A431F">
        <w:t xml:space="preserve"> program</w:t>
      </w:r>
      <w:r w:rsidR="00DA1266">
        <w:t>me</w:t>
      </w:r>
      <w:r w:rsidR="001A431F">
        <w:t xml:space="preserve"> in enhancing Arab Fragile and Conflict Affected (FCA) countries in accession to use trade as a vehicle for peace and stability for their countries and for the region. </w:t>
      </w:r>
    </w:p>
    <w:p w14:paraId="6B97F95D" w14:textId="77777777" w:rsidR="001A431F" w:rsidRPr="00D5242B" w:rsidRDefault="001A431F" w:rsidP="00D5242B">
      <w:pPr>
        <w:spacing w:after="120"/>
        <w:jc w:val="center"/>
        <w:rPr>
          <w:i/>
          <w:color w:val="006283"/>
          <w:sz w:val="24"/>
          <w:szCs w:val="24"/>
          <w:lang w:eastAsia="en-GB"/>
        </w:rPr>
      </w:pPr>
    </w:p>
    <w:p w14:paraId="13C03911" w14:textId="5E7772BF" w:rsidR="007134CE" w:rsidRPr="00B80CDB" w:rsidRDefault="007134CE" w:rsidP="007134CE">
      <w:pPr>
        <w:pStyle w:val="Title3"/>
        <w:rPr>
          <w:rFonts w:eastAsiaTheme="minorHAnsi" w:cstheme="minorBidi"/>
          <w:i w:val="0"/>
          <w:caps/>
          <w:sz w:val="20"/>
          <w:szCs w:val="20"/>
          <w:u w:val="single"/>
          <w:lang w:eastAsia="zh-CN"/>
        </w:rPr>
      </w:pPr>
      <w:r w:rsidRPr="00B80CDB">
        <w:rPr>
          <w:rFonts w:eastAsiaTheme="minorHAnsi" w:cstheme="minorBidi"/>
          <w:i w:val="0"/>
          <w:caps/>
          <w:sz w:val="20"/>
          <w:szCs w:val="20"/>
          <w:u w:val="single"/>
          <w:lang w:eastAsia="zh-CN"/>
        </w:rPr>
        <w:t>Draft Programme</w:t>
      </w:r>
    </w:p>
    <w:tbl>
      <w:tblPr>
        <w:tblW w:w="5163" w:type="pct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52"/>
        <w:gridCol w:w="8453"/>
      </w:tblGrid>
      <w:tr w:rsidR="00782A95" w:rsidRPr="00DA1266" w14:paraId="6A12637D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95B3D7"/>
          </w:tcPr>
          <w:p w14:paraId="6D037F11" w14:textId="77777777" w:rsidR="00782A95" w:rsidRPr="00782A95" w:rsidRDefault="00782A95" w:rsidP="007134CE">
            <w:pPr>
              <w:spacing w:after="120"/>
              <w:jc w:val="center"/>
              <w:rPr>
                <w:rFonts w:eastAsia="Calibri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14:paraId="5945E942" w14:textId="13061FED" w:rsidR="00782A95" w:rsidRPr="00DA1266" w:rsidRDefault="00782A95" w:rsidP="007134CE">
            <w:pPr>
              <w:spacing w:after="120"/>
              <w:jc w:val="center"/>
              <w:rPr>
                <w:rFonts w:eastAsia="Calibri" w:cs="Calibri"/>
                <w:b/>
                <w:bCs/>
                <w:iCs/>
                <w:szCs w:val="18"/>
                <w:lang w:eastAsia="ja-JP"/>
              </w:rPr>
            </w:pPr>
            <w:r w:rsidRPr="00DA1266">
              <w:rPr>
                <w:rFonts w:eastAsia="Calibri" w:cs="Calibri"/>
                <w:b/>
                <w:bCs/>
                <w:iCs/>
                <w:szCs w:val="18"/>
                <w:lang w:eastAsia="ja-JP"/>
              </w:rPr>
              <w:t xml:space="preserve">DAY 1: Tuesday 31 October 2023  </w:t>
            </w:r>
          </w:p>
        </w:tc>
      </w:tr>
      <w:tr w:rsidR="00782A95" w:rsidRPr="00DA1266" w14:paraId="60A128FC" w14:textId="77777777" w:rsidTr="00782A95">
        <w:trPr>
          <w:trHeight w:val="438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2A3C22E2" w14:textId="77777777" w:rsidR="00782A95" w:rsidRPr="00782A95" w:rsidRDefault="00782A95" w:rsidP="007134CE">
            <w:pPr>
              <w:spacing w:after="120"/>
              <w:jc w:val="center"/>
              <w:rPr>
                <w:rFonts w:eastAsia="Calibri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DBE5F1"/>
            <w:vAlign w:val="center"/>
          </w:tcPr>
          <w:p w14:paraId="5E7F9C6F" w14:textId="35AB2111" w:rsidR="00782A95" w:rsidRPr="00DA1266" w:rsidRDefault="00782A95" w:rsidP="007134CE">
            <w:pPr>
              <w:spacing w:after="120"/>
              <w:jc w:val="center"/>
              <w:rPr>
                <w:rFonts w:eastAsia="Calibri" w:cs="Calibri"/>
                <w:b/>
                <w:i/>
                <w:color w:val="1F497D"/>
                <w:szCs w:val="18"/>
                <w:lang w:eastAsia="ja-JP"/>
              </w:rPr>
            </w:pPr>
            <w:bookmarkStart w:id="1" w:name="_Hlk81819362"/>
            <w:r w:rsidRPr="00DA1266">
              <w:rPr>
                <w:rFonts w:eastAsia="Calibri" w:cs="Calibri"/>
                <w:b/>
                <w:bCs/>
                <w:iCs/>
                <w:szCs w:val="18"/>
                <w:lang w:eastAsia="ja-JP"/>
              </w:rPr>
              <w:t>Opening Session</w:t>
            </w:r>
            <w:r>
              <w:rPr>
                <w:rFonts w:eastAsia="Calibri" w:cs="Calibri"/>
                <w:b/>
                <w:bCs/>
                <w:iCs/>
                <w:szCs w:val="18"/>
                <w:lang w:eastAsia="ja-JP"/>
              </w:rPr>
              <w:t xml:space="preserve">: </w:t>
            </w:r>
          </w:p>
        </w:tc>
      </w:tr>
      <w:tr w:rsidR="00782A95" w:rsidRPr="00DA1266" w14:paraId="2BE8560C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549BD3A1" w14:textId="012047BF" w:rsidR="00782A95" w:rsidRPr="00782A95" w:rsidRDefault="00782A95" w:rsidP="00782A95">
            <w:pPr>
              <w:spacing w:after="120"/>
              <w:jc w:val="left"/>
              <w:rPr>
                <w:rFonts w:eastAsia="MS Mincho" w:cs="Calibri"/>
                <w:iCs/>
                <w:szCs w:val="18"/>
                <w:lang w:val="en-US"/>
              </w:rPr>
            </w:pPr>
            <w:r w:rsidRPr="00782A95">
              <w:rPr>
                <w:rFonts w:eastAsia="Calibri" w:cs="Calibri"/>
                <w:iCs/>
                <w:szCs w:val="18"/>
                <w:lang w:eastAsia="ja-JP"/>
              </w:rPr>
              <w:t>9:00 – 10:30</w:t>
            </w:r>
          </w:p>
        </w:tc>
        <w:bookmarkEnd w:id="1"/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14:paraId="71AF3C1A" w14:textId="60130460" w:rsidR="00782A95" w:rsidRPr="00DA1266" w:rsidRDefault="00782A95" w:rsidP="00F17B8D">
            <w:pPr>
              <w:spacing w:after="120"/>
              <w:jc w:val="left"/>
              <w:rPr>
                <w:rFonts w:eastAsia="MS Mincho" w:cs="Calibri"/>
                <w:szCs w:val="18"/>
                <w:lang w:val="en-US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val="en-US"/>
              </w:rPr>
              <w:t>Moderator:</w:t>
            </w:r>
            <w:r w:rsidRPr="00DA1266">
              <w:rPr>
                <w:rFonts w:eastAsia="MS Mincho" w:cs="Calibri"/>
                <w:szCs w:val="18"/>
                <w:lang w:val="en-US"/>
              </w:rPr>
              <w:t xml:space="preserve"> Ms. Maika Oshikawa, Director, Accessions Division, WTO (TBC)</w:t>
            </w:r>
          </w:p>
          <w:p w14:paraId="3560A4A6" w14:textId="77777777" w:rsidR="00782A95" w:rsidRPr="00DA1266" w:rsidRDefault="00782A95" w:rsidP="007134CE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  <w:lang w:val="en-US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val="en-US"/>
              </w:rPr>
              <w:t>Speakers:</w:t>
            </w:r>
          </w:p>
          <w:p w14:paraId="579946A6" w14:textId="3E5DD9F9" w:rsidR="00782A95" w:rsidRPr="00DA1266" w:rsidRDefault="00782A95" w:rsidP="007134CE">
            <w:pPr>
              <w:spacing w:after="120"/>
              <w:jc w:val="left"/>
              <w:rPr>
                <w:rFonts w:eastAsia="MS Mincho" w:cs="Calibri"/>
                <w:szCs w:val="18"/>
              </w:rPr>
            </w:pPr>
            <w:r w:rsidRPr="00DA1266">
              <w:rPr>
                <w:rFonts w:eastAsia="MS Mincho" w:cs="Calibri"/>
                <w:szCs w:val="18"/>
              </w:rPr>
              <w:t>-</w:t>
            </w:r>
            <w:r w:rsidRPr="00DA1266">
              <w:rPr>
                <w:rFonts w:eastAsia="MS Mincho" w:cs="Calibri"/>
                <w:szCs w:val="18"/>
              </w:rPr>
              <w:tab/>
              <w:t>Welcoming Remarks by H.E. Dr Abdulrahman A. Al Hamidy, AMF Director General Chairman of the Board (TBC)</w:t>
            </w:r>
          </w:p>
          <w:p w14:paraId="2E38400C" w14:textId="52E4C662" w:rsidR="00782A95" w:rsidRPr="00DA1266" w:rsidRDefault="00782A95" w:rsidP="007134CE">
            <w:pPr>
              <w:spacing w:after="120"/>
              <w:jc w:val="left"/>
              <w:rPr>
                <w:rFonts w:eastAsia="MS Mincho" w:cs="Calibri"/>
                <w:szCs w:val="18"/>
              </w:rPr>
            </w:pPr>
            <w:r w:rsidRPr="00DA1266">
              <w:rPr>
                <w:rFonts w:eastAsia="MS Mincho" w:cs="Calibri"/>
                <w:szCs w:val="18"/>
              </w:rPr>
              <w:t xml:space="preserve">- </w:t>
            </w:r>
            <w:r w:rsidRPr="00DA1266">
              <w:rPr>
                <w:rFonts w:eastAsia="MS Mincho" w:cs="Calibri"/>
                <w:szCs w:val="18"/>
              </w:rPr>
              <w:tab/>
              <w:t>Remarks by WTO (TBC)</w:t>
            </w:r>
          </w:p>
          <w:p w14:paraId="15EE3619" w14:textId="77777777" w:rsidR="00782A95" w:rsidRDefault="00782A95" w:rsidP="007134CE">
            <w:pPr>
              <w:spacing w:after="120"/>
              <w:jc w:val="left"/>
              <w:rPr>
                <w:rFonts w:eastAsia="Calibri" w:cs="Calibri"/>
                <w:szCs w:val="18"/>
              </w:rPr>
            </w:pPr>
            <w:r w:rsidRPr="00DA1266">
              <w:rPr>
                <w:rFonts w:eastAsia="MS Mincho" w:cs="Calibri"/>
                <w:szCs w:val="18"/>
              </w:rPr>
              <w:t xml:space="preserve">- </w:t>
            </w:r>
            <w:r w:rsidRPr="00DA1266">
              <w:rPr>
                <w:rFonts w:eastAsia="MS Mincho" w:cs="Calibri"/>
                <w:szCs w:val="18"/>
              </w:rPr>
              <w:tab/>
              <w:t>Remarks by Islamic Development Bank (IsDB)</w:t>
            </w:r>
            <w:r w:rsidRPr="00DA1266">
              <w:rPr>
                <w:rFonts w:eastAsia="Calibri" w:cs="Calibri"/>
                <w:szCs w:val="18"/>
              </w:rPr>
              <w:t xml:space="preserve"> (TBC)</w:t>
            </w:r>
          </w:p>
          <w:p w14:paraId="3EFDDBDC" w14:textId="54CD4A58" w:rsidR="00975762" w:rsidRPr="00DA1266" w:rsidRDefault="00975762" w:rsidP="007134CE">
            <w:pPr>
              <w:spacing w:after="120"/>
              <w:jc w:val="left"/>
              <w:rPr>
                <w:rFonts w:eastAsia="Calibri" w:cs="Calibri"/>
                <w:szCs w:val="18"/>
              </w:rPr>
            </w:pPr>
            <w:r>
              <w:rPr>
                <w:rFonts w:eastAsia="Calibri" w:cs="Calibri"/>
                <w:szCs w:val="18"/>
              </w:rPr>
              <w:t xml:space="preserve">-        Remarks by the </w:t>
            </w:r>
            <w:r w:rsidRPr="00975762">
              <w:rPr>
                <w:rFonts w:eastAsia="Calibri" w:cs="Calibri"/>
                <w:szCs w:val="18"/>
              </w:rPr>
              <w:t>Islamic Centre for Development of Trade (ICDT)</w:t>
            </w:r>
            <w:r>
              <w:rPr>
                <w:rFonts w:eastAsia="Calibri" w:cs="Calibri"/>
                <w:szCs w:val="18"/>
              </w:rPr>
              <w:t xml:space="preserve"> (TBC)</w:t>
            </w:r>
          </w:p>
        </w:tc>
      </w:tr>
      <w:tr w:rsidR="00782A95" w:rsidRPr="00DA1266" w14:paraId="496E5D59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5D3F289B" w14:textId="401D6E5D" w:rsidR="00782A95" w:rsidRPr="00782A95" w:rsidRDefault="00782A95" w:rsidP="00782A95">
            <w:pPr>
              <w:spacing w:after="120"/>
              <w:ind w:right="-106"/>
              <w:jc w:val="left"/>
              <w:rPr>
                <w:rFonts w:eastAsia="MS Mincho" w:cs="Calibri"/>
                <w:iCs/>
                <w:szCs w:val="18"/>
                <w:lang w:val="en-US"/>
              </w:rPr>
            </w:pPr>
            <w:r w:rsidRPr="00782A95">
              <w:rPr>
                <w:rFonts w:eastAsia="MS Mincho" w:cs="Calibri"/>
                <w:iCs/>
                <w:szCs w:val="18"/>
                <w:lang w:val="en-US"/>
              </w:rPr>
              <w:t>10:30 – 10:45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14:paraId="4B925FB4" w14:textId="4E9EE0A8" w:rsidR="00782A95" w:rsidRPr="00782A95" w:rsidRDefault="00782A95" w:rsidP="00782A95">
            <w:pPr>
              <w:spacing w:after="120"/>
              <w:ind w:right="-106"/>
              <w:jc w:val="center"/>
              <w:rPr>
                <w:rFonts w:eastAsia="MS Mincho" w:cs="Calibri"/>
                <w:i/>
                <w:iCs/>
                <w:szCs w:val="18"/>
                <w:lang w:val="en-US"/>
              </w:rPr>
            </w:pPr>
            <w:r w:rsidRPr="00782A95">
              <w:rPr>
                <w:rFonts w:eastAsia="MS Mincho" w:cs="Calibri"/>
                <w:i/>
                <w:iCs/>
                <w:szCs w:val="18"/>
                <w:lang w:val="en-US"/>
              </w:rPr>
              <w:t xml:space="preserve">Group Photo and Coffee break </w:t>
            </w:r>
          </w:p>
        </w:tc>
      </w:tr>
      <w:tr w:rsidR="00782A95" w:rsidRPr="00DA1266" w14:paraId="4A67AA6A" w14:textId="77777777" w:rsidTr="00782A95">
        <w:trPr>
          <w:trHeight w:val="699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02B41EED" w14:textId="22ED348C" w:rsidR="00782A95" w:rsidRPr="00782A95" w:rsidRDefault="00782A95" w:rsidP="007134CE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iCs/>
                <w:szCs w:val="18"/>
                <w:lang w:eastAsia="ja-JP"/>
              </w:rPr>
              <w:t>10:45 – 12:15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DBE5F1"/>
            <w:vAlign w:val="center"/>
          </w:tcPr>
          <w:p w14:paraId="0B39DD02" w14:textId="438A124F" w:rsidR="00782A95" w:rsidRPr="00DA1266" w:rsidRDefault="00782A95" w:rsidP="007134CE">
            <w:pPr>
              <w:spacing w:after="120"/>
              <w:jc w:val="center"/>
              <w:rPr>
                <w:rFonts w:eastAsia="MS Mincho" w:cs="Calibri"/>
                <w:b/>
                <w:bCs/>
                <w:i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>Session 1:</w:t>
            </w:r>
            <w:r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 xml:space="preserve"> </w:t>
            </w:r>
          </w:p>
          <w:p w14:paraId="45E0569D" w14:textId="5E2F34EC" w:rsidR="00782A95" w:rsidRPr="00DA1266" w:rsidRDefault="00782A95" w:rsidP="007134CE">
            <w:pPr>
              <w:spacing w:after="120"/>
              <w:jc w:val="center"/>
              <w:rPr>
                <w:rFonts w:eastAsia="MS Mincho" w:cs="Calibri"/>
                <w:b/>
                <w:bCs/>
                <w:i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>Arab Participation in the WTO: Past, Present and Future</w:t>
            </w:r>
          </w:p>
        </w:tc>
      </w:tr>
      <w:tr w:rsidR="00782A95" w:rsidRPr="00DA1266" w14:paraId="6433DA07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20C1124D" w14:textId="77777777" w:rsidR="00782A95" w:rsidRPr="00782A95" w:rsidRDefault="00782A95" w:rsidP="007134CE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8C9D5" w14:textId="531326B7" w:rsidR="00782A95" w:rsidRPr="00DA1266" w:rsidRDefault="00782A95" w:rsidP="007134CE">
            <w:pPr>
              <w:spacing w:after="120"/>
              <w:jc w:val="left"/>
              <w:rPr>
                <w:rFonts w:eastAsia="MS Mincho" w:cs="Calibri"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>Objectives:</w:t>
            </w:r>
            <w:r w:rsidRPr="00DA1266">
              <w:rPr>
                <w:rFonts w:eastAsia="MS Mincho" w:cs="Calibri"/>
                <w:iCs/>
                <w:szCs w:val="18"/>
                <w:lang w:eastAsia="ja-JP"/>
              </w:rPr>
              <w:t xml:space="preserve"> to give an overview of Arab Members participation in the World Trade Organization.</w:t>
            </w:r>
          </w:p>
        </w:tc>
      </w:tr>
      <w:tr w:rsidR="00782A95" w:rsidRPr="00DA1266" w14:paraId="3EE40D19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3EA15882" w14:textId="77777777" w:rsidR="00782A95" w:rsidRPr="00782A95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14:paraId="10E1BB88" w14:textId="29E7D9F5" w:rsidR="00782A95" w:rsidRPr="00DA1266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</w:rPr>
            </w:pPr>
            <w:bookmarkStart w:id="2" w:name="_Hlk135035361"/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Speaker: </w:t>
            </w:r>
            <w:r w:rsidRPr="00DA1266">
              <w:rPr>
                <w:rFonts w:eastAsia="MS Mincho" w:cs="Calibri"/>
                <w:szCs w:val="18"/>
                <w:lang w:eastAsia="ja-JP"/>
              </w:rPr>
              <w:t>WTO (TBC)</w:t>
            </w:r>
          </w:p>
        </w:tc>
      </w:tr>
      <w:tr w:rsidR="00782A95" w:rsidRPr="00DA1266" w14:paraId="66BF099C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31F05AEE" w14:textId="3CF9194D" w:rsidR="00782A95" w:rsidRPr="00782A95" w:rsidRDefault="00782A95" w:rsidP="007F6168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iCs/>
                <w:szCs w:val="18"/>
                <w:lang w:eastAsia="ja-JP"/>
              </w:rPr>
              <w:t>12:15 – 13:00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D5B29" w14:textId="3B4C7AAF" w:rsidR="00782A95" w:rsidRPr="000F3C44" w:rsidRDefault="00782A95" w:rsidP="007F6168">
            <w:pPr>
              <w:spacing w:after="120"/>
              <w:jc w:val="center"/>
              <w:rPr>
                <w:rFonts w:eastAsia="MS Mincho" w:cs="Calibri"/>
                <w:i/>
                <w:iCs/>
                <w:szCs w:val="18"/>
                <w:lang w:eastAsia="ja-JP"/>
              </w:rPr>
            </w:pPr>
            <w:r w:rsidRPr="000F3C44">
              <w:rPr>
                <w:rFonts w:eastAsia="MS Mincho" w:cs="Calibri"/>
                <w:i/>
                <w:iCs/>
                <w:szCs w:val="18"/>
                <w:lang w:eastAsia="ja-JP"/>
              </w:rPr>
              <w:t xml:space="preserve">Lunch Break </w:t>
            </w:r>
          </w:p>
        </w:tc>
      </w:tr>
      <w:tr w:rsidR="00782A95" w:rsidRPr="00DA1266" w14:paraId="345806B8" w14:textId="77777777" w:rsidTr="00782A95">
        <w:trPr>
          <w:trHeight w:val="919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7D3C9C5B" w14:textId="77505EE7" w:rsidR="00782A95" w:rsidRPr="00782A95" w:rsidRDefault="00782A95" w:rsidP="007F6168">
            <w:pPr>
              <w:spacing w:after="120"/>
              <w:jc w:val="center"/>
              <w:rPr>
                <w:rFonts w:eastAsia="MS Mincho" w:cs="Calibri"/>
                <w:bCs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bCs/>
                <w:szCs w:val="18"/>
                <w:lang w:eastAsia="ja-JP"/>
              </w:rPr>
              <w:t xml:space="preserve">13:00 – </w:t>
            </w:r>
            <w:r>
              <w:rPr>
                <w:rFonts w:eastAsia="MS Mincho" w:cs="Calibri"/>
                <w:bCs/>
                <w:szCs w:val="18"/>
                <w:lang w:eastAsia="ja-JP"/>
              </w:rPr>
              <w:t>15:00</w:t>
            </w:r>
            <w:r w:rsidRPr="00782A95">
              <w:rPr>
                <w:rFonts w:eastAsia="MS Mincho" w:cs="Calibri"/>
                <w:bCs/>
                <w:szCs w:val="18"/>
                <w:lang w:eastAsia="ja-JP"/>
              </w:rPr>
              <w:br/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23EF55F" w14:textId="1564D480" w:rsidR="00782A95" w:rsidRPr="00DA1266" w:rsidRDefault="00782A95" w:rsidP="007F6168">
            <w:pPr>
              <w:spacing w:after="120"/>
              <w:jc w:val="center"/>
              <w:rPr>
                <w:rFonts w:eastAsia="MS Mincho" w:cs="Calibri"/>
                <w:b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szCs w:val="18"/>
                <w:lang w:eastAsia="ja-JP"/>
              </w:rPr>
              <w:t xml:space="preserve">Session </w:t>
            </w:r>
            <w:r>
              <w:rPr>
                <w:rFonts w:eastAsia="MS Mincho" w:cs="Calibri"/>
                <w:b/>
                <w:szCs w:val="18"/>
                <w:lang w:eastAsia="ja-JP"/>
              </w:rPr>
              <w:t>2</w:t>
            </w:r>
            <w:r w:rsidRPr="00DA1266">
              <w:rPr>
                <w:rFonts w:eastAsia="MS Mincho" w:cs="Calibri"/>
                <w:b/>
                <w:szCs w:val="18"/>
                <w:lang w:eastAsia="ja-JP"/>
              </w:rPr>
              <w:t>:</w:t>
            </w:r>
            <w:r>
              <w:rPr>
                <w:rFonts w:eastAsia="MS Mincho" w:cs="Calibri"/>
                <w:b/>
                <w:szCs w:val="18"/>
                <w:lang w:eastAsia="ja-JP"/>
              </w:rPr>
              <w:t xml:space="preserve"> </w:t>
            </w:r>
            <w:r w:rsidRPr="00DA1266"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>Overview and State of Play of WTO Accessions in the Arab Region</w:t>
            </w:r>
          </w:p>
        </w:tc>
      </w:tr>
      <w:tr w:rsidR="00782A95" w:rsidRPr="00DA1266" w14:paraId="748DA618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6122BECA" w14:textId="77777777" w:rsidR="00782A95" w:rsidRPr="00782A95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9D143" w14:textId="194758B4" w:rsidR="00782A95" w:rsidRPr="00DA1266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B80CDB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Objectives: </w:t>
            </w:r>
            <w:r w:rsidRPr="00B80CDB">
              <w:rPr>
                <w:rFonts w:eastAsia="MS Mincho" w:cs="Calibri"/>
                <w:szCs w:val="18"/>
                <w:lang w:eastAsia="ja-JP"/>
              </w:rPr>
              <w:t>to strengthen participants’ understanding of the WTO accession process and accession-related rules; and to update the participants on the state-of-play of accessions within the region.</w:t>
            </w:r>
          </w:p>
        </w:tc>
      </w:tr>
      <w:tr w:rsidR="00782A95" w:rsidRPr="00DA1266" w14:paraId="7209A849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108D035A" w14:textId="77777777" w:rsidR="00782A95" w:rsidRPr="00782A95" w:rsidRDefault="00782A95" w:rsidP="00081345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24B26" w14:textId="0CFE3D94" w:rsidR="00782A95" w:rsidRPr="00DA1266" w:rsidRDefault="00782A95" w:rsidP="00081345">
            <w:pPr>
              <w:spacing w:after="120"/>
              <w:jc w:val="left"/>
              <w:rPr>
                <w:rFonts w:eastAsia="MS Mincho" w:cs="Calibri"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Speakers: </w:t>
            </w:r>
            <w:r w:rsidRPr="00DA1266">
              <w:rPr>
                <w:rFonts w:eastAsia="MS Mincho" w:cs="Calibri"/>
                <w:szCs w:val="18"/>
                <w:lang w:eastAsia="ja-JP"/>
              </w:rPr>
              <w:t xml:space="preserve"> WTO (TBC)</w:t>
            </w:r>
          </w:p>
        </w:tc>
      </w:tr>
      <w:tr w:rsidR="00782A95" w:rsidRPr="00DA1266" w14:paraId="1F1C18F4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95B3D7"/>
          </w:tcPr>
          <w:p w14:paraId="2E154F9D" w14:textId="77777777" w:rsidR="00782A95" w:rsidRPr="00782A95" w:rsidRDefault="00782A95" w:rsidP="007134CE">
            <w:pPr>
              <w:spacing w:after="120"/>
              <w:jc w:val="center"/>
              <w:rPr>
                <w:rFonts w:eastAsia="Calibri" w:cs="Calibri"/>
                <w:b/>
                <w:bCs/>
                <w:iCs/>
                <w:szCs w:val="18"/>
                <w:lang w:eastAsia="ja-JP"/>
              </w:rPr>
            </w:pPr>
          </w:p>
        </w:tc>
        <w:bookmarkEnd w:id="2"/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14:paraId="3652BCA7" w14:textId="0CC64A19" w:rsidR="00782A95" w:rsidRPr="00DA1266" w:rsidRDefault="00782A95" w:rsidP="007134CE">
            <w:pPr>
              <w:spacing w:after="120"/>
              <w:jc w:val="center"/>
              <w:rPr>
                <w:rFonts w:eastAsia="Calibri" w:cs="Calibri"/>
                <w:b/>
                <w:bCs/>
                <w:iCs/>
                <w:szCs w:val="18"/>
                <w:lang w:eastAsia="ja-JP"/>
              </w:rPr>
            </w:pPr>
            <w:r w:rsidRPr="00DA1266">
              <w:rPr>
                <w:rFonts w:eastAsia="Calibri" w:cs="Calibri"/>
                <w:b/>
                <w:bCs/>
                <w:iCs/>
                <w:szCs w:val="18"/>
                <w:lang w:eastAsia="ja-JP"/>
              </w:rPr>
              <w:t>DAY 2: Wednesday 1 November 2023</w:t>
            </w:r>
          </w:p>
        </w:tc>
      </w:tr>
      <w:tr w:rsidR="00782A95" w:rsidRPr="00DA1266" w14:paraId="6391A055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378B375E" w14:textId="7DFFBF29" w:rsidR="00782A95" w:rsidRPr="00782A95" w:rsidRDefault="00782A95" w:rsidP="007134CE">
            <w:pPr>
              <w:spacing w:after="120"/>
              <w:jc w:val="center"/>
              <w:rPr>
                <w:rFonts w:eastAsia="MS Mincho" w:cs="Calibri"/>
                <w:bCs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bCs/>
                <w:szCs w:val="18"/>
                <w:lang w:eastAsia="ja-JP"/>
              </w:rPr>
              <w:t xml:space="preserve">8:30 – </w:t>
            </w:r>
            <w:r w:rsidR="000F3C44">
              <w:rPr>
                <w:rFonts w:eastAsia="MS Mincho" w:cs="Calibri"/>
                <w:bCs/>
                <w:szCs w:val="18"/>
                <w:lang w:eastAsia="ja-JP"/>
              </w:rPr>
              <w:t>12:00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4147338E" w14:textId="2BEF0CD6" w:rsidR="00782A95" w:rsidRPr="00DA1266" w:rsidRDefault="00782A95" w:rsidP="007134CE">
            <w:pPr>
              <w:spacing w:after="120"/>
              <w:jc w:val="center"/>
              <w:rPr>
                <w:rFonts w:eastAsia="MS Mincho" w:cs="Calibri"/>
                <w:b/>
                <w:szCs w:val="18"/>
                <w:lang w:eastAsia="ja-JP"/>
              </w:rPr>
            </w:pPr>
            <w:bookmarkStart w:id="3" w:name="_Hlk54286754"/>
            <w:r w:rsidRPr="00DA1266">
              <w:rPr>
                <w:rFonts w:eastAsia="MS Mincho" w:cs="Calibri"/>
                <w:b/>
                <w:szCs w:val="18"/>
                <w:lang w:eastAsia="ja-JP"/>
              </w:rPr>
              <w:t xml:space="preserve">Session </w:t>
            </w:r>
            <w:r>
              <w:rPr>
                <w:rFonts w:eastAsia="MS Mincho" w:cs="Calibri"/>
                <w:b/>
                <w:szCs w:val="18"/>
                <w:lang w:eastAsia="ja-JP"/>
              </w:rPr>
              <w:t>3</w:t>
            </w:r>
            <w:r w:rsidRPr="00DA1266">
              <w:rPr>
                <w:rFonts w:eastAsia="MS Mincho" w:cs="Calibri"/>
                <w:b/>
                <w:szCs w:val="18"/>
                <w:lang w:eastAsia="ja-JP"/>
              </w:rPr>
              <w:t xml:space="preserve">:  </w:t>
            </w:r>
            <w:r w:rsidRPr="00DA1266">
              <w:rPr>
                <w:rFonts w:eastAsia="MS Mincho" w:cs="Calibri"/>
                <w:b/>
                <w:szCs w:val="18"/>
                <w:lang w:eastAsia="ja-JP"/>
              </w:rPr>
              <w:br/>
            </w:r>
            <w:r w:rsidRPr="00DA1266">
              <w:rPr>
                <w:rFonts w:eastAsia="MS Mincho" w:cs="Calibri"/>
                <w:b/>
                <w:szCs w:val="18"/>
                <w:lang w:eastAsia="ja-JP"/>
              </w:rPr>
              <w:br/>
              <w:t>Presentation on the Joint Arab Study for WTO Accessions (1</w:t>
            </w:r>
            <w:r>
              <w:rPr>
                <w:rFonts w:eastAsia="MS Mincho" w:cs="Calibri"/>
                <w:b/>
                <w:szCs w:val="18"/>
                <w:lang w:eastAsia="ja-JP"/>
              </w:rPr>
              <w:t>)</w:t>
            </w:r>
          </w:p>
        </w:tc>
      </w:tr>
      <w:tr w:rsidR="00782A95" w:rsidRPr="00DA1266" w14:paraId="47C1D33A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60AC7117" w14:textId="77777777" w:rsidR="00782A95" w:rsidRPr="00782A95" w:rsidRDefault="00782A95" w:rsidP="00563465">
            <w:pPr>
              <w:spacing w:after="120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DF58C" w14:textId="72D7ED03" w:rsidR="00782A95" w:rsidRPr="00DA1266" w:rsidRDefault="00782A95" w:rsidP="00563465">
            <w:pPr>
              <w:spacing w:after="120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>Objectives:</w:t>
            </w:r>
            <w:r w:rsidRPr="00DA1266">
              <w:rPr>
                <w:rFonts w:eastAsia="MS Mincho" w:cs="Calibri"/>
                <w:iCs/>
                <w:szCs w:val="18"/>
                <w:lang w:eastAsia="ja-JP"/>
              </w:rPr>
              <w:t xml:space="preserve"> to present the main findings and recommendations of the Joint Arab Study for WTO Accessions</w:t>
            </w:r>
          </w:p>
        </w:tc>
      </w:tr>
      <w:tr w:rsidR="00782A95" w:rsidRPr="00DA1266" w14:paraId="528B1FEB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65FEEC73" w14:textId="77777777" w:rsidR="00782A95" w:rsidRPr="00782A95" w:rsidRDefault="00782A95" w:rsidP="007F6168">
            <w:pPr>
              <w:spacing w:after="120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16B59" w14:textId="527B79DD" w:rsidR="00782A95" w:rsidRPr="00DA1266" w:rsidRDefault="00782A95" w:rsidP="007F6168">
            <w:pPr>
              <w:spacing w:after="120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Speakers: </w:t>
            </w:r>
            <w:r w:rsidRPr="00DA1266">
              <w:rPr>
                <w:rFonts w:eastAsia="MS Mincho" w:cs="Calibri"/>
                <w:szCs w:val="18"/>
                <w:lang w:eastAsia="ja-JP"/>
              </w:rPr>
              <w:t xml:space="preserve"> Consultants (TBC)</w:t>
            </w:r>
          </w:p>
          <w:p w14:paraId="45AFEBE1" w14:textId="77777777" w:rsidR="00782A95" w:rsidRPr="00DA1266" w:rsidRDefault="00782A95" w:rsidP="007F6168">
            <w:pPr>
              <w:spacing w:after="120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t>- Partner organizations (TBC)</w:t>
            </w:r>
          </w:p>
          <w:p w14:paraId="08F8F993" w14:textId="77777777" w:rsidR="00782A95" w:rsidRPr="00DA1266" w:rsidRDefault="00782A95" w:rsidP="007F6168">
            <w:pPr>
              <w:spacing w:after="120"/>
              <w:rPr>
                <w:rFonts w:eastAsia="MS Mincho" w:cs="Calibri"/>
                <w:b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- </w:t>
            </w:r>
            <w:r w:rsidRPr="00DA1266">
              <w:rPr>
                <w:rFonts w:eastAsia="MS Mincho" w:cs="Calibri"/>
                <w:szCs w:val="18"/>
                <w:lang w:eastAsia="ja-JP"/>
              </w:rPr>
              <w:t>Acceding governments (TBC) and Article XII Members</w:t>
            </w:r>
          </w:p>
        </w:tc>
      </w:tr>
      <w:tr w:rsidR="00782A95" w:rsidRPr="00DA1266" w14:paraId="67FAD0BB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4A73A1FC" w14:textId="599D3E88" w:rsidR="00782A95" w:rsidRPr="00782A95" w:rsidRDefault="00782A95" w:rsidP="007F6168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iCs/>
                <w:szCs w:val="18"/>
                <w:lang w:eastAsia="ja-JP"/>
              </w:rPr>
              <w:t xml:space="preserve">12:00 – </w:t>
            </w:r>
            <w:r w:rsidR="000F3C44">
              <w:rPr>
                <w:rFonts w:eastAsia="MS Mincho" w:cs="Calibri"/>
                <w:iCs/>
                <w:szCs w:val="18"/>
                <w:lang w:eastAsia="ja-JP"/>
              </w:rPr>
              <w:t>13:00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E2693" w14:textId="0AC54545" w:rsidR="00782A95" w:rsidRPr="000F3C44" w:rsidRDefault="00782A95" w:rsidP="007F6168">
            <w:pPr>
              <w:spacing w:after="120"/>
              <w:jc w:val="center"/>
              <w:rPr>
                <w:rFonts w:eastAsia="MS Mincho" w:cs="Calibri"/>
                <w:i/>
                <w:szCs w:val="18"/>
                <w:lang w:eastAsia="ja-JP"/>
              </w:rPr>
            </w:pPr>
            <w:bookmarkStart w:id="4" w:name="_Hlk83642839"/>
            <w:r w:rsidRPr="000F3C44">
              <w:rPr>
                <w:rFonts w:eastAsia="MS Mincho" w:cs="Calibri"/>
                <w:i/>
                <w:szCs w:val="18"/>
                <w:lang w:eastAsia="ja-JP"/>
              </w:rPr>
              <w:t xml:space="preserve">Lunch break </w:t>
            </w:r>
          </w:p>
        </w:tc>
      </w:tr>
      <w:tr w:rsidR="00782A95" w:rsidRPr="00DA1266" w14:paraId="10633C71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05AB1B71" w14:textId="1BDD8A0F" w:rsidR="000F3C44" w:rsidRDefault="000F3C44" w:rsidP="007F6168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0F3C44">
              <w:rPr>
                <w:rFonts w:eastAsia="MS Mincho" w:cs="Calibri"/>
                <w:iCs/>
                <w:szCs w:val="18"/>
                <w:lang w:eastAsia="ja-JP"/>
              </w:rPr>
              <w:t>13:00</w:t>
            </w:r>
          </w:p>
          <w:p w14:paraId="6F343380" w14:textId="1CCA077F" w:rsidR="00782A95" w:rsidRPr="000F3C44" w:rsidRDefault="000F3C44" w:rsidP="007F6168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iCs/>
                <w:szCs w:val="18"/>
                <w:lang w:eastAsia="ja-JP"/>
              </w:rPr>
              <w:lastRenderedPageBreak/>
              <w:t xml:space="preserve">– </w:t>
            </w:r>
            <w:r w:rsidRPr="000F3C44">
              <w:rPr>
                <w:rFonts w:eastAsia="MS Mincho" w:cs="Calibri"/>
                <w:iCs/>
                <w:szCs w:val="18"/>
                <w:lang w:eastAsia="ja-JP"/>
              </w:rPr>
              <w:t>15:00</w:t>
            </w:r>
          </w:p>
        </w:tc>
        <w:bookmarkEnd w:id="4"/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0F3DCFAF" w14:textId="2D9F9901" w:rsidR="00782A95" w:rsidRDefault="00782A95" w:rsidP="000F3C44">
            <w:pPr>
              <w:spacing w:after="120"/>
              <w:jc w:val="center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lastRenderedPageBreak/>
              <w:t xml:space="preserve">Session </w:t>
            </w:r>
            <w:r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>4</w:t>
            </w: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 xml:space="preserve">:  </w:t>
            </w:r>
          </w:p>
          <w:p w14:paraId="71A327AF" w14:textId="51552272" w:rsidR="00782A95" w:rsidRPr="00DA1266" w:rsidRDefault="00782A95" w:rsidP="007F6168">
            <w:pPr>
              <w:spacing w:after="120"/>
              <w:jc w:val="center"/>
              <w:rPr>
                <w:rFonts w:eastAsia="MS Mincho" w:cs="Calibri"/>
                <w:b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szCs w:val="18"/>
                <w:lang w:eastAsia="ja-JP"/>
              </w:rPr>
              <w:t xml:space="preserve">Presentation on the Joint Arab Study for WTO Accessions (2) </w:t>
            </w:r>
          </w:p>
          <w:p w14:paraId="1B36623B" w14:textId="77777777" w:rsidR="00782A95" w:rsidRPr="00DA1266" w:rsidRDefault="00782A95" w:rsidP="007F6168">
            <w:pPr>
              <w:spacing w:after="120"/>
              <w:jc w:val="center"/>
              <w:rPr>
                <w:rFonts w:eastAsia="MS Mincho" w:cs="Calibri"/>
                <w:bCs/>
                <w:i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Cs/>
                <w:i/>
                <w:iCs/>
                <w:szCs w:val="18"/>
                <w:lang w:eastAsia="ja-JP"/>
              </w:rPr>
              <w:lastRenderedPageBreak/>
              <w:t>Technical Assistance and Capacity Building for the Arab Region</w:t>
            </w:r>
          </w:p>
        </w:tc>
      </w:tr>
      <w:tr w:rsidR="00782A95" w:rsidRPr="00DA1266" w14:paraId="23FFAF0A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20476F0F" w14:textId="77777777" w:rsidR="00782A95" w:rsidRPr="00782A95" w:rsidRDefault="00782A95" w:rsidP="007F6168">
            <w:pPr>
              <w:spacing w:after="120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C4D55" w14:textId="40A8A179" w:rsidR="00782A95" w:rsidRPr="00DA1266" w:rsidRDefault="00782A95" w:rsidP="007F6168">
            <w:pPr>
              <w:spacing w:after="120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>Objectives:</w:t>
            </w:r>
            <w:r w:rsidRPr="00DA1266">
              <w:rPr>
                <w:rFonts w:eastAsia="MS Mincho" w:cs="Calibri"/>
                <w:iCs/>
                <w:szCs w:val="18"/>
                <w:lang w:eastAsia="ja-JP"/>
              </w:rPr>
              <w:t xml:space="preserve"> to help discuss technical assistance and support needs for Arab Acceding Governments with the relevant stakeholders and development partners based on the findings and recommendations of the Joint Arab Study</w:t>
            </w:r>
          </w:p>
        </w:tc>
      </w:tr>
      <w:tr w:rsidR="00782A95" w:rsidRPr="00DA1266" w14:paraId="6B62C54F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0E933B43" w14:textId="77777777" w:rsidR="00782A95" w:rsidRPr="00782A95" w:rsidRDefault="00782A95" w:rsidP="007F6168">
            <w:pPr>
              <w:spacing w:after="120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901DA" w14:textId="6F7C4C97" w:rsidR="00782A95" w:rsidRPr="00DA1266" w:rsidRDefault="00782A95" w:rsidP="007F6168">
            <w:pPr>
              <w:spacing w:after="120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Speakers: </w:t>
            </w:r>
            <w:r w:rsidRPr="00DA1266">
              <w:rPr>
                <w:rFonts w:eastAsia="MS Mincho" w:cs="Calibri"/>
                <w:szCs w:val="18"/>
                <w:lang w:eastAsia="ja-JP"/>
              </w:rPr>
              <w:t xml:space="preserve"> WTO (TBC)</w:t>
            </w:r>
          </w:p>
          <w:p w14:paraId="78D8ED62" w14:textId="77777777" w:rsidR="00782A95" w:rsidRPr="00DA1266" w:rsidRDefault="00782A95" w:rsidP="007F6168">
            <w:pPr>
              <w:spacing w:after="120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t>- Partner organizations (TBC)</w:t>
            </w:r>
          </w:p>
          <w:p w14:paraId="3517C163" w14:textId="77777777" w:rsidR="00782A95" w:rsidRPr="00DA1266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- </w:t>
            </w:r>
            <w:r w:rsidRPr="00DA1266">
              <w:rPr>
                <w:rFonts w:eastAsia="MS Mincho" w:cs="Calibri"/>
                <w:szCs w:val="18"/>
                <w:lang w:eastAsia="ja-JP"/>
              </w:rPr>
              <w:t>Acceding governments (TBC)</w:t>
            </w:r>
          </w:p>
        </w:tc>
      </w:tr>
      <w:tr w:rsidR="00782A95" w:rsidRPr="00DA1266" w14:paraId="6C75B6CF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95B3D7"/>
          </w:tcPr>
          <w:p w14:paraId="7E1D8324" w14:textId="77777777" w:rsidR="00782A95" w:rsidRPr="00782A95" w:rsidRDefault="00782A95" w:rsidP="007134CE">
            <w:pPr>
              <w:spacing w:after="20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</w:p>
        </w:tc>
        <w:bookmarkEnd w:id="3"/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14:paraId="78BFADA6" w14:textId="41553D4D" w:rsidR="00782A95" w:rsidRPr="00DA1266" w:rsidRDefault="00782A95" w:rsidP="007134CE">
            <w:pPr>
              <w:spacing w:after="200"/>
              <w:jc w:val="center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br w:type="page"/>
            </w: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>DAY 3: Thursday 2 November 2023</w:t>
            </w:r>
          </w:p>
        </w:tc>
      </w:tr>
      <w:tr w:rsidR="00782A95" w:rsidRPr="00DA1266" w14:paraId="54C3A07E" w14:textId="77777777" w:rsidTr="00782A95">
        <w:trPr>
          <w:trHeight w:val="699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39B2505E" w14:textId="7F7122F2" w:rsidR="00782A95" w:rsidRPr="00782A95" w:rsidRDefault="00782A95" w:rsidP="007F6168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iCs/>
                <w:szCs w:val="18"/>
                <w:lang w:eastAsia="ja-JP"/>
              </w:rPr>
              <w:t>8:30 – 10:15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6BC73831" w14:textId="25A67F5F" w:rsidR="00782A95" w:rsidRPr="00DA1266" w:rsidRDefault="00782A95" w:rsidP="007F6168">
            <w:pPr>
              <w:spacing w:after="120"/>
              <w:jc w:val="center"/>
              <w:rPr>
                <w:rFonts w:eastAsia="MS Mincho" w:cs="Calibri"/>
                <w:b/>
                <w:bCs/>
                <w:i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 xml:space="preserve">Session </w:t>
            </w:r>
            <w:r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>5</w:t>
            </w:r>
            <w:r w:rsidRPr="00DA1266"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t xml:space="preserve">: </w:t>
            </w:r>
            <w:r w:rsidRPr="00DA1266">
              <w:rPr>
                <w:rFonts w:eastAsia="MS Mincho" w:cs="Calibri"/>
                <w:b/>
                <w:bCs/>
                <w:i/>
                <w:szCs w:val="18"/>
                <w:lang w:eastAsia="ja-JP"/>
              </w:rPr>
              <w:br/>
              <w:t>The Road to MC13</w:t>
            </w:r>
          </w:p>
        </w:tc>
      </w:tr>
      <w:tr w:rsidR="00782A95" w:rsidRPr="00DA1266" w14:paraId="0739DB4C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1355D7CE" w14:textId="77777777" w:rsidR="00782A95" w:rsidRPr="00782A95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0E2CE" w14:textId="08C1F161" w:rsidR="00782A95" w:rsidRPr="00DA1266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>Objectives:</w:t>
            </w:r>
            <w:r w:rsidRPr="00DA1266">
              <w:rPr>
                <w:rFonts w:eastAsia="MS Mincho" w:cs="Calibri"/>
                <w:szCs w:val="18"/>
                <w:lang w:eastAsia="ja-JP"/>
              </w:rPr>
              <w:t xml:space="preserve"> to present on the main topics under negotiations at the WTO and the deliverables of MC13; </w:t>
            </w:r>
            <w:r>
              <w:rPr>
                <w:rFonts w:eastAsia="MS Mincho" w:cs="Calibri"/>
                <w:szCs w:val="18"/>
                <w:lang w:eastAsia="ja-JP"/>
              </w:rPr>
              <w:t xml:space="preserve">and </w:t>
            </w:r>
            <w:r w:rsidRPr="00DA1266">
              <w:rPr>
                <w:rFonts w:eastAsia="MS Mincho" w:cs="Calibri"/>
                <w:szCs w:val="18"/>
                <w:lang w:eastAsia="ja-JP"/>
              </w:rPr>
              <w:t>for Arab Observers and Article XII members to share their views in current WTO negotiations.</w:t>
            </w:r>
          </w:p>
        </w:tc>
      </w:tr>
      <w:tr w:rsidR="00782A95" w:rsidRPr="00DA1266" w14:paraId="2F4648C7" w14:textId="77777777" w:rsidTr="00782A95">
        <w:trPr>
          <w:trHeight w:val="699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685ACC00" w14:textId="77777777" w:rsidR="00782A95" w:rsidRPr="00782A95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E99CC" w14:textId="5F44AAD6" w:rsidR="00782A95" w:rsidRDefault="00782A95" w:rsidP="007F6168">
            <w:pPr>
              <w:spacing w:after="120"/>
              <w:jc w:val="left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Speaker: </w:t>
            </w:r>
            <w:r w:rsidRPr="00DA1266">
              <w:rPr>
                <w:rFonts w:eastAsia="MS Mincho" w:cs="Calibri"/>
                <w:szCs w:val="18"/>
                <w:lang w:eastAsia="ja-JP"/>
              </w:rPr>
              <w:t>WTO (TBC)</w:t>
            </w:r>
          </w:p>
          <w:p w14:paraId="4C7F00DF" w14:textId="77777777" w:rsidR="00782A95" w:rsidRPr="00DA1266" w:rsidRDefault="00782A95" w:rsidP="007F6168">
            <w:pPr>
              <w:spacing w:after="120"/>
              <w:jc w:val="left"/>
              <w:rPr>
                <w:rFonts w:eastAsia="MS Mincho" w:cs="Calibri"/>
                <w:szCs w:val="18"/>
                <w:lang w:eastAsia="ja-JP"/>
              </w:rPr>
            </w:pPr>
            <w:r>
              <w:rPr>
                <w:rFonts w:eastAsia="MS Mincho" w:cs="Calibri"/>
                <w:szCs w:val="18"/>
                <w:lang w:eastAsia="ja-JP"/>
              </w:rPr>
              <w:t xml:space="preserve">- </w:t>
            </w:r>
            <w:r w:rsidRPr="00DA1266">
              <w:rPr>
                <w:rFonts w:eastAsia="MS Mincho" w:cs="Calibri"/>
                <w:szCs w:val="18"/>
                <w:lang w:eastAsia="ja-JP"/>
              </w:rPr>
              <w:t>Article XII member governments (TBC)</w:t>
            </w:r>
          </w:p>
          <w:p w14:paraId="3F515C14" w14:textId="77777777" w:rsidR="00782A95" w:rsidRPr="00DA1266" w:rsidRDefault="00782A95" w:rsidP="007F6168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t>- Arab Observer governments</w:t>
            </w:r>
          </w:p>
        </w:tc>
      </w:tr>
      <w:tr w:rsidR="00782A95" w:rsidRPr="00DA1266" w14:paraId="696DAAE9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0604C77A" w14:textId="574B567A" w:rsidR="00782A95" w:rsidRPr="00782A95" w:rsidRDefault="00782A95" w:rsidP="00B017E5">
            <w:pPr>
              <w:spacing w:after="120"/>
              <w:jc w:val="center"/>
              <w:rPr>
                <w:rFonts w:eastAsia="MS Mincho" w:cs="Calibri"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i/>
                <w:szCs w:val="18"/>
                <w:lang w:eastAsia="ja-JP"/>
              </w:rPr>
              <w:t>10:15 – 10:30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67E71" w14:textId="7374A495" w:rsidR="00782A95" w:rsidRPr="00782A95" w:rsidRDefault="00782A95" w:rsidP="00B017E5">
            <w:pPr>
              <w:spacing w:after="120"/>
              <w:jc w:val="center"/>
              <w:rPr>
                <w:rFonts w:eastAsia="MS Mincho" w:cs="Calibri"/>
                <w:i/>
                <w:szCs w:val="18"/>
                <w:lang w:eastAsia="ja-JP"/>
              </w:rPr>
            </w:pPr>
            <w:r w:rsidRPr="00782A95">
              <w:rPr>
                <w:rFonts w:eastAsia="MS Mincho" w:cs="Calibri"/>
                <w:i/>
                <w:szCs w:val="18"/>
                <w:lang w:eastAsia="ja-JP"/>
              </w:rPr>
              <w:t xml:space="preserve">Coffee break </w:t>
            </w:r>
          </w:p>
        </w:tc>
      </w:tr>
      <w:tr w:rsidR="00782A95" w:rsidRPr="00DA1266" w14:paraId="2A52C500" w14:textId="77777777" w:rsidTr="00782A95">
        <w:trPr>
          <w:trHeight w:val="699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466B6806" w14:textId="3FF6B8F2" w:rsidR="00782A95" w:rsidRPr="00782A95" w:rsidRDefault="00782A95" w:rsidP="00B017E5">
            <w:pPr>
              <w:spacing w:after="120"/>
              <w:jc w:val="center"/>
              <w:rPr>
                <w:rFonts w:eastAsia="MS Mincho" w:cs="Calibri"/>
                <w:bCs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bCs/>
                <w:iCs/>
                <w:szCs w:val="18"/>
                <w:lang w:eastAsia="ja-JP"/>
              </w:rPr>
              <w:t>10:30 – 12:00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F42A222" w14:textId="1EFBE116" w:rsidR="00782A95" w:rsidRPr="00DA1266" w:rsidRDefault="00782A95" w:rsidP="00B017E5">
            <w:pPr>
              <w:spacing w:after="120"/>
              <w:jc w:val="center"/>
              <w:rPr>
                <w:rFonts w:eastAsia="MS Mincho" w:cs="Calibri"/>
                <w:b/>
                <w:i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iCs/>
                <w:szCs w:val="18"/>
                <w:lang w:eastAsia="ja-JP"/>
              </w:rPr>
              <w:t xml:space="preserve">Session 6: </w:t>
            </w:r>
            <w:r w:rsidRPr="00DA1266">
              <w:rPr>
                <w:rFonts w:eastAsia="MS Mincho" w:cs="Calibri"/>
                <w:b/>
                <w:iCs/>
                <w:szCs w:val="18"/>
                <w:lang w:eastAsia="ja-JP"/>
              </w:rPr>
              <w:br/>
              <w:t xml:space="preserve"> </w:t>
            </w:r>
            <w:r w:rsidRPr="00DA1266"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  <w:t>Trade for Peace through WTO Accession for the Arab Region</w:t>
            </w:r>
          </w:p>
        </w:tc>
      </w:tr>
      <w:tr w:rsidR="00782A95" w:rsidRPr="00DA1266" w14:paraId="35166D18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2A552919" w14:textId="77777777" w:rsidR="00782A95" w:rsidRPr="00782A95" w:rsidRDefault="00782A95" w:rsidP="009E7B27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E56D8" w14:textId="218299DB" w:rsidR="00782A95" w:rsidRPr="00DA1266" w:rsidRDefault="00782A95" w:rsidP="009E7B27">
            <w:pPr>
              <w:spacing w:after="120"/>
              <w:jc w:val="left"/>
              <w:rPr>
                <w:rFonts w:eastAsia="MS Mincho" w:cs="Calibri"/>
                <w:b/>
                <w:i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 xml:space="preserve">Speakers: </w:t>
            </w:r>
            <w:r w:rsidRPr="00DA1266">
              <w:rPr>
                <w:rFonts w:eastAsia="MS Mincho" w:cs="Calibri"/>
                <w:szCs w:val="18"/>
                <w:lang w:eastAsia="ja-JP"/>
              </w:rPr>
              <w:t>WTO (TBC)</w:t>
            </w:r>
          </w:p>
        </w:tc>
      </w:tr>
      <w:tr w:rsidR="00782A95" w:rsidRPr="00DA1266" w14:paraId="6DEBE359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15DEC6F7" w14:textId="77777777" w:rsidR="00782A95" w:rsidRPr="00782A95" w:rsidRDefault="00782A95" w:rsidP="00B017E5">
            <w:pPr>
              <w:spacing w:after="120"/>
              <w:jc w:val="left"/>
              <w:rPr>
                <w:rFonts w:eastAsia="MS Mincho" w:cs="Calibri"/>
                <w:b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3F647" w14:textId="201662F3" w:rsidR="00782A95" w:rsidRPr="00DA1266" w:rsidRDefault="00782A95" w:rsidP="00B017E5">
            <w:pPr>
              <w:spacing w:after="120"/>
              <w:jc w:val="left"/>
              <w:rPr>
                <w:rFonts w:eastAsia="MS Mincho" w:cs="Calibri"/>
                <w:bCs/>
                <w:i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iCs/>
                <w:szCs w:val="18"/>
                <w:lang w:eastAsia="ja-JP"/>
              </w:rPr>
              <w:t>Objectives:</w:t>
            </w:r>
            <w:r w:rsidRPr="00DA1266">
              <w:rPr>
                <w:rFonts w:eastAsia="MS Mincho" w:cs="Calibri"/>
                <w:bCs/>
                <w:iCs/>
                <w:szCs w:val="18"/>
                <w:lang w:eastAsia="ja-JP"/>
              </w:rPr>
              <w:t xml:space="preserve"> Many of the countries in the region are Fragile and Conflict Affected (FCA), this session will </w:t>
            </w:r>
            <w:r w:rsidRPr="00DA1266">
              <w:rPr>
                <w:rFonts w:eastAsia="MS Mincho" w:cs="Calibri"/>
                <w:iCs/>
                <w:szCs w:val="18"/>
                <w:lang w:eastAsia="ja-JP"/>
              </w:rPr>
              <w:t>highlight the relevance and applicability of harnessing trade as a vehicle for peace through WTO accession in the Arab Region.</w:t>
            </w:r>
          </w:p>
        </w:tc>
      </w:tr>
      <w:tr w:rsidR="00782A95" w:rsidRPr="00DA1266" w14:paraId="74BD46A7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3F314837" w14:textId="218271E1" w:rsidR="00782A95" w:rsidRPr="00782A95" w:rsidRDefault="00782A95" w:rsidP="00B839C9">
            <w:pPr>
              <w:spacing w:after="120"/>
              <w:jc w:val="center"/>
              <w:rPr>
                <w:rFonts w:eastAsia="MS Mincho" w:cs="Calibri"/>
                <w:bCs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bCs/>
                <w:iCs/>
                <w:szCs w:val="18"/>
                <w:lang w:eastAsia="ja-JP"/>
              </w:rPr>
              <w:t>12:00 – 1</w:t>
            </w:r>
            <w:r w:rsidR="000F3C44">
              <w:rPr>
                <w:rFonts w:eastAsia="MS Mincho" w:cs="Calibri"/>
                <w:bCs/>
                <w:iCs/>
                <w:szCs w:val="18"/>
                <w:lang w:eastAsia="ja-JP"/>
              </w:rPr>
              <w:t>3</w:t>
            </w:r>
            <w:r w:rsidRPr="00782A95">
              <w:rPr>
                <w:rFonts w:eastAsia="MS Mincho" w:cs="Calibri"/>
                <w:bCs/>
                <w:iCs/>
                <w:szCs w:val="18"/>
                <w:lang w:eastAsia="ja-JP"/>
              </w:rPr>
              <w:t>:</w:t>
            </w:r>
            <w:r w:rsidR="000F3C44">
              <w:rPr>
                <w:rFonts w:eastAsia="MS Mincho" w:cs="Calibri"/>
                <w:bCs/>
                <w:iCs/>
                <w:szCs w:val="18"/>
                <w:lang w:eastAsia="ja-JP"/>
              </w:rPr>
              <w:t>00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90AB9" w14:textId="4BD0DA76" w:rsidR="00782A95" w:rsidRPr="000F3C44" w:rsidRDefault="00782A95" w:rsidP="00B839C9">
            <w:pPr>
              <w:spacing w:after="120"/>
              <w:jc w:val="center"/>
              <w:rPr>
                <w:rFonts w:eastAsia="MS Mincho" w:cs="Calibri"/>
                <w:bCs/>
                <w:i/>
                <w:szCs w:val="18"/>
                <w:lang w:eastAsia="ja-JP"/>
              </w:rPr>
            </w:pPr>
            <w:r w:rsidRPr="000F3C44">
              <w:rPr>
                <w:rFonts w:eastAsia="MS Mincho" w:cs="Calibri"/>
                <w:bCs/>
                <w:i/>
                <w:szCs w:val="18"/>
                <w:lang w:eastAsia="ja-JP"/>
              </w:rPr>
              <w:t xml:space="preserve">Lunch break </w:t>
            </w:r>
          </w:p>
        </w:tc>
      </w:tr>
      <w:tr w:rsidR="00782A95" w:rsidRPr="00DA1266" w14:paraId="4ADDB167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BE5F1"/>
          </w:tcPr>
          <w:p w14:paraId="4941C22C" w14:textId="470DBEA9" w:rsidR="00782A95" w:rsidRPr="00782A95" w:rsidRDefault="00782A95" w:rsidP="00B017E5">
            <w:pPr>
              <w:spacing w:after="120"/>
              <w:jc w:val="center"/>
              <w:rPr>
                <w:rFonts w:eastAsia="MS Mincho" w:cs="Calibri"/>
                <w:bCs/>
                <w:iCs/>
                <w:szCs w:val="18"/>
                <w:lang w:eastAsia="ja-JP"/>
              </w:rPr>
            </w:pPr>
            <w:r w:rsidRPr="00782A95">
              <w:rPr>
                <w:rFonts w:eastAsia="MS Mincho" w:cs="Calibri"/>
                <w:bCs/>
                <w:szCs w:val="18"/>
                <w:lang w:eastAsia="ja-JP"/>
              </w:rPr>
              <w:t>1</w:t>
            </w:r>
            <w:r w:rsidR="000F3C44">
              <w:rPr>
                <w:rFonts w:eastAsia="MS Mincho" w:cs="Calibri"/>
                <w:bCs/>
                <w:szCs w:val="18"/>
                <w:lang w:eastAsia="ja-JP"/>
              </w:rPr>
              <w:t>3</w:t>
            </w:r>
            <w:r w:rsidRPr="00782A95">
              <w:rPr>
                <w:rFonts w:eastAsia="MS Mincho" w:cs="Calibri"/>
                <w:bCs/>
                <w:szCs w:val="18"/>
                <w:lang w:eastAsia="ja-JP"/>
              </w:rPr>
              <w:t>:</w:t>
            </w:r>
            <w:r w:rsidR="000F3C44">
              <w:rPr>
                <w:rFonts w:eastAsia="MS Mincho" w:cs="Calibri"/>
                <w:bCs/>
                <w:szCs w:val="18"/>
                <w:lang w:eastAsia="ja-JP"/>
              </w:rPr>
              <w:t>00</w:t>
            </w:r>
            <w:r w:rsidRPr="00782A95">
              <w:rPr>
                <w:rFonts w:eastAsia="MS Mincho" w:cs="Calibri"/>
                <w:bCs/>
                <w:szCs w:val="18"/>
                <w:lang w:eastAsia="ja-JP"/>
              </w:rPr>
              <w:t xml:space="preserve"> – 14:</w:t>
            </w:r>
            <w:r w:rsidR="000F3C44">
              <w:rPr>
                <w:rFonts w:eastAsia="MS Mincho" w:cs="Calibri"/>
                <w:bCs/>
                <w:szCs w:val="18"/>
                <w:lang w:eastAsia="ja-JP"/>
              </w:rPr>
              <w:t>00</w:t>
            </w: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E16C703" w14:textId="2659BBE8" w:rsidR="00782A95" w:rsidRPr="00782A95" w:rsidRDefault="00782A95" w:rsidP="00B017E5">
            <w:pPr>
              <w:spacing w:after="120"/>
              <w:jc w:val="center"/>
              <w:rPr>
                <w:rFonts w:eastAsia="MS Mincho" w:cs="Calibri"/>
                <w:bCs/>
                <w:szCs w:val="18"/>
                <w:lang w:eastAsia="ja-JP"/>
              </w:rPr>
            </w:pPr>
            <w:r w:rsidRPr="00782A95">
              <w:rPr>
                <w:rFonts w:eastAsia="MS Mincho" w:cs="Calibri"/>
                <w:bCs/>
                <w:szCs w:val="18"/>
                <w:lang w:eastAsia="ja-JP"/>
              </w:rPr>
              <w:t xml:space="preserve">Closing Session </w:t>
            </w:r>
          </w:p>
        </w:tc>
      </w:tr>
      <w:tr w:rsidR="00782A95" w:rsidRPr="00DA1266" w14:paraId="2D150F70" w14:textId="77777777" w:rsidTr="00782A95">
        <w:trPr>
          <w:trHeight w:val="20"/>
        </w:trPr>
        <w:tc>
          <w:tcPr>
            <w:tcW w:w="458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20992973" w14:textId="77777777" w:rsidR="00782A95" w:rsidRPr="00782A95" w:rsidRDefault="00782A95" w:rsidP="00B017E5">
            <w:pPr>
              <w:spacing w:after="120"/>
              <w:jc w:val="left"/>
              <w:rPr>
                <w:rFonts w:eastAsia="MS Mincho" w:cs="Calibri"/>
                <w:b/>
                <w:bCs/>
                <w:iCs/>
                <w:szCs w:val="18"/>
                <w:lang w:eastAsia="ja-JP"/>
              </w:rPr>
            </w:pPr>
          </w:p>
        </w:tc>
        <w:tc>
          <w:tcPr>
            <w:tcW w:w="4542" w:type="pct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4F62B" w14:textId="7AC2DCAF" w:rsidR="00782A95" w:rsidRPr="00DA1266" w:rsidRDefault="00782A95" w:rsidP="00B017E5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DA1266">
              <w:rPr>
                <w:rFonts w:eastAsia="MS Mincho" w:cs="Calibri"/>
                <w:b/>
                <w:bCs/>
                <w:szCs w:val="18"/>
                <w:lang w:eastAsia="ja-JP"/>
              </w:rPr>
              <w:t>Speakers:</w:t>
            </w:r>
          </w:p>
          <w:p w14:paraId="13F3485A" w14:textId="77777777" w:rsidR="00782A95" w:rsidRPr="00DA1266" w:rsidRDefault="00782A95" w:rsidP="00B017E5">
            <w:pPr>
              <w:spacing w:after="120"/>
              <w:jc w:val="left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t>- WTO (TBC)</w:t>
            </w:r>
          </w:p>
          <w:p w14:paraId="1B87EFE8" w14:textId="591F06AE" w:rsidR="00782A95" w:rsidRPr="00DA1266" w:rsidRDefault="00782A95" w:rsidP="00B017E5">
            <w:pPr>
              <w:spacing w:after="120"/>
              <w:jc w:val="left"/>
              <w:rPr>
                <w:rFonts w:eastAsia="MS Mincho" w:cs="Calibri"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t>- AMF (TBC)</w:t>
            </w:r>
          </w:p>
          <w:p w14:paraId="35EBAB3D" w14:textId="2F16CA64" w:rsidR="00782A95" w:rsidRPr="00DA1266" w:rsidRDefault="00782A95" w:rsidP="00B017E5">
            <w:pPr>
              <w:spacing w:after="120"/>
              <w:jc w:val="left"/>
              <w:rPr>
                <w:rFonts w:eastAsia="MS Mincho" w:cs="Calibri"/>
                <w:b/>
                <w:bCs/>
                <w:szCs w:val="18"/>
                <w:lang w:eastAsia="ja-JP"/>
              </w:rPr>
            </w:pPr>
            <w:r w:rsidRPr="00DA1266">
              <w:rPr>
                <w:rFonts w:eastAsia="MS Mincho" w:cs="Calibri"/>
                <w:szCs w:val="18"/>
                <w:lang w:eastAsia="ja-JP"/>
              </w:rPr>
              <w:t>- IsDB (TBC)</w:t>
            </w:r>
          </w:p>
        </w:tc>
      </w:tr>
    </w:tbl>
    <w:p w14:paraId="12DE9FDB" w14:textId="0A608549" w:rsidR="00425251" w:rsidRPr="00DA1266" w:rsidRDefault="00425251" w:rsidP="00D5242B">
      <w:pPr>
        <w:rPr>
          <w:szCs w:val="18"/>
        </w:rPr>
      </w:pPr>
    </w:p>
    <w:p w14:paraId="33E5F3E0" w14:textId="43EA9109" w:rsidR="001D52D2" w:rsidRDefault="001D52D2" w:rsidP="00D5242B">
      <w:pPr>
        <w:rPr>
          <w:sz w:val="20"/>
          <w:szCs w:val="20"/>
        </w:rPr>
      </w:pPr>
    </w:p>
    <w:p w14:paraId="18CAD83E" w14:textId="77777777" w:rsidR="001D52D2" w:rsidRPr="00D5242B" w:rsidRDefault="001D52D2" w:rsidP="00D5242B">
      <w:pPr>
        <w:rPr>
          <w:sz w:val="20"/>
          <w:szCs w:val="20"/>
        </w:rPr>
      </w:pPr>
    </w:p>
    <w:sectPr w:rsidR="001D52D2" w:rsidRPr="00D5242B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824A" w14:textId="77777777" w:rsidR="00F75795" w:rsidRDefault="00F75795" w:rsidP="00ED54E0">
      <w:r>
        <w:separator/>
      </w:r>
    </w:p>
  </w:endnote>
  <w:endnote w:type="continuationSeparator" w:id="0">
    <w:p w14:paraId="3AEF1453" w14:textId="77777777" w:rsidR="00F75795" w:rsidRDefault="00F7579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A410" w14:textId="77777777" w:rsidR="00F75795" w:rsidRDefault="00F75795" w:rsidP="00ED54E0">
      <w:r>
        <w:separator/>
      </w:r>
    </w:p>
  </w:footnote>
  <w:footnote w:type="continuationSeparator" w:id="0">
    <w:p w14:paraId="72FAE2E3" w14:textId="77777777" w:rsidR="00F75795" w:rsidRDefault="00F75795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097044">
    <w:abstractNumId w:val="9"/>
  </w:num>
  <w:num w:numId="2" w16cid:durableId="2069573462">
    <w:abstractNumId w:val="7"/>
  </w:num>
  <w:num w:numId="3" w16cid:durableId="1755392297">
    <w:abstractNumId w:val="6"/>
  </w:num>
  <w:num w:numId="4" w16cid:durableId="1959799350">
    <w:abstractNumId w:val="5"/>
  </w:num>
  <w:num w:numId="5" w16cid:durableId="1302298414">
    <w:abstractNumId w:val="4"/>
  </w:num>
  <w:num w:numId="6" w16cid:durableId="1970864145">
    <w:abstractNumId w:val="13"/>
  </w:num>
  <w:num w:numId="7" w16cid:durableId="113401406">
    <w:abstractNumId w:val="12"/>
  </w:num>
  <w:num w:numId="8" w16cid:durableId="9574372">
    <w:abstractNumId w:val="11"/>
  </w:num>
  <w:num w:numId="9" w16cid:durableId="9632689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04041">
    <w:abstractNumId w:val="14"/>
  </w:num>
  <w:num w:numId="11" w16cid:durableId="298533068">
    <w:abstractNumId w:val="8"/>
  </w:num>
  <w:num w:numId="12" w16cid:durableId="1004934342">
    <w:abstractNumId w:val="3"/>
  </w:num>
  <w:num w:numId="13" w16cid:durableId="1867210365">
    <w:abstractNumId w:val="2"/>
  </w:num>
  <w:num w:numId="14" w16cid:durableId="1851722110">
    <w:abstractNumId w:val="1"/>
  </w:num>
  <w:num w:numId="15" w16cid:durableId="1987395333">
    <w:abstractNumId w:val="0"/>
  </w:num>
  <w:num w:numId="16" w16cid:durableId="1933195560">
    <w:abstractNumId w:val="10"/>
  </w:num>
  <w:num w:numId="17" w16cid:durableId="12239524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95"/>
    <w:rsid w:val="000106E0"/>
    <w:rsid w:val="000111BB"/>
    <w:rsid w:val="00022C0F"/>
    <w:rsid w:val="000272F6"/>
    <w:rsid w:val="00037AC4"/>
    <w:rsid w:val="000423BF"/>
    <w:rsid w:val="000511A9"/>
    <w:rsid w:val="00081345"/>
    <w:rsid w:val="000A4945"/>
    <w:rsid w:val="000B31E1"/>
    <w:rsid w:val="000F3C44"/>
    <w:rsid w:val="0011356B"/>
    <w:rsid w:val="00117BAB"/>
    <w:rsid w:val="0013337F"/>
    <w:rsid w:val="001469E5"/>
    <w:rsid w:val="00182B84"/>
    <w:rsid w:val="00183080"/>
    <w:rsid w:val="001946F2"/>
    <w:rsid w:val="00195F91"/>
    <w:rsid w:val="001A431F"/>
    <w:rsid w:val="001D0F5C"/>
    <w:rsid w:val="001D52D2"/>
    <w:rsid w:val="001E291F"/>
    <w:rsid w:val="00233408"/>
    <w:rsid w:val="00237417"/>
    <w:rsid w:val="0027067B"/>
    <w:rsid w:val="002A15FB"/>
    <w:rsid w:val="002A6940"/>
    <w:rsid w:val="002B69BC"/>
    <w:rsid w:val="002E249B"/>
    <w:rsid w:val="00304385"/>
    <w:rsid w:val="00311BE2"/>
    <w:rsid w:val="00320249"/>
    <w:rsid w:val="003572B4"/>
    <w:rsid w:val="003616BF"/>
    <w:rsid w:val="00371F2B"/>
    <w:rsid w:val="00383F10"/>
    <w:rsid w:val="003945F7"/>
    <w:rsid w:val="003C5727"/>
    <w:rsid w:val="003D2D77"/>
    <w:rsid w:val="003F0B87"/>
    <w:rsid w:val="00425251"/>
    <w:rsid w:val="00437A4E"/>
    <w:rsid w:val="004551EC"/>
    <w:rsid w:val="00467032"/>
    <w:rsid w:val="0046754A"/>
    <w:rsid w:val="004A31FF"/>
    <w:rsid w:val="004E63B1"/>
    <w:rsid w:val="004F203A"/>
    <w:rsid w:val="00512FF5"/>
    <w:rsid w:val="005336B8"/>
    <w:rsid w:val="005614C4"/>
    <w:rsid w:val="00563465"/>
    <w:rsid w:val="00572513"/>
    <w:rsid w:val="005878E5"/>
    <w:rsid w:val="005B04B9"/>
    <w:rsid w:val="005B68C7"/>
    <w:rsid w:val="005B7054"/>
    <w:rsid w:val="005B7D6A"/>
    <w:rsid w:val="005D0152"/>
    <w:rsid w:val="005D5981"/>
    <w:rsid w:val="005F30CB"/>
    <w:rsid w:val="00612644"/>
    <w:rsid w:val="00624052"/>
    <w:rsid w:val="00664D2E"/>
    <w:rsid w:val="00674CCD"/>
    <w:rsid w:val="006A18DC"/>
    <w:rsid w:val="006D6742"/>
    <w:rsid w:val="006E3654"/>
    <w:rsid w:val="006F5826"/>
    <w:rsid w:val="00700181"/>
    <w:rsid w:val="007134CE"/>
    <w:rsid w:val="007141CF"/>
    <w:rsid w:val="00745146"/>
    <w:rsid w:val="0074635B"/>
    <w:rsid w:val="007544AC"/>
    <w:rsid w:val="007577E3"/>
    <w:rsid w:val="00760DB3"/>
    <w:rsid w:val="00767204"/>
    <w:rsid w:val="00782A95"/>
    <w:rsid w:val="007C79F0"/>
    <w:rsid w:val="007E3F1C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75762"/>
    <w:rsid w:val="009A6F54"/>
    <w:rsid w:val="009A7E67"/>
    <w:rsid w:val="009B0823"/>
    <w:rsid w:val="009E7B27"/>
    <w:rsid w:val="00A14983"/>
    <w:rsid w:val="00A26C72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017E5"/>
    <w:rsid w:val="00B1394B"/>
    <w:rsid w:val="00B230EC"/>
    <w:rsid w:val="00B26396"/>
    <w:rsid w:val="00B50DC4"/>
    <w:rsid w:val="00B56EDC"/>
    <w:rsid w:val="00B609F2"/>
    <w:rsid w:val="00B67C16"/>
    <w:rsid w:val="00B80CDB"/>
    <w:rsid w:val="00B839C9"/>
    <w:rsid w:val="00BB1F84"/>
    <w:rsid w:val="00BE5468"/>
    <w:rsid w:val="00BE6526"/>
    <w:rsid w:val="00BE6E47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11F49"/>
    <w:rsid w:val="00D5242B"/>
    <w:rsid w:val="00D52A9D"/>
    <w:rsid w:val="00D55AAD"/>
    <w:rsid w:val="00D747AE"/>
    <w:rsid w:val="00D9226C"/>
    <w:rsid w:val="00DA1266"/>
    <w:rsid w:val="00DA20BD"/>
    <w:rsid w:val="00DE50DB"/>
    <w:rsid w:val="00DE516E"/>
    <w:rsid w:val="00DF6AE1"/>
    <w:rsid w:val="00E46FD5"/>
    <w:rsid w:val="00E544BB"/>
    <w:rsid w:val="00E56545"/>
    <w:rsid w:val="00E85004"/>
    <w:rsid w:val="00E8627C"/>
    <w:rsid w:val="00EA5D4F"/>
    <w:rsid w:val="00EB6C56"/>
    <w:rsid w:val="00EB6F21"/>
    <w:rsid w:val="00ED54E0"/>
    <w:rsid w:val="00F01C13"/>
    <w:rsid w:val="00F17B8D"/>
    <w:rsid w:val="00F32397"/>
    <w:rsid w:val="00F40595"/>
    <w:rsid w:val="00F679DE"/>
    <w:rsid w:val="00F757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037A"/>
  <w15:chartTrackingRefBased/>
  <w15:docId w15:val="{48483558-67A3-487A-A0B1-F8EBE9B8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1D52D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Marchand, Alexandre Paul</dc:creator>
  <cp:keywords/>
  <dc:description/>
  <cp:lastModifiedBy>Hassan, Mena</cp:lastModifiedBy>
  <cp:revision>2</cp:revision>
  <dcterms:created xsi:type="dcterms:W3CDTF">2023-05-16T09:19:00Z</dcterms:created>
  <dcterms:modified xsi:type="dcterms:W3CDTF">2023-05-16T09:19:00Z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96d3fa02-b0e8-4f04-b038-efc681ee960b</vt:lpwstr>
  </property>
</Properties>
</file>